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92A0" w14:textId="12180835" w:rsidR="0016281D" w:rsidRDefault="0016281D" w:rsidP="0016281D">
      <w:pPr>
        <w:jc w:val="center"/>
        <w:rPr>
          <w:rFonts w:ascii="Arial" w:hAnsi="Arial" w:cs="Arial"/>
          <w:sz w:val="28"/>
        </w:rPr>
      </w:pPr>
    </w:p>
    <w:p w14:paraId="6BCF7EBA" w14:textId="77777777" w:rsidR="00605A73" w:rsidRPr="00F23A91" w:rsidRDefault="00605A73" w:rsidP="00605A73">
      <w:pPr>
        <w:overflowPunct w:val="0"/>
        <w:autoSpaceDE w:val="0"/>
        <w:autoSpaceDN w:val="0"/>
        <w:adjustRightInd w:val="0"/>
        <w:ind w:left="568" w:firstLine="708"/>
        <w:textAlignment w:val="baseline"/>
        <w:rPr>
          <w:rFonts w:ascii="Arial" w:hAnsi="Arial" w:cs="Arial"/>
          <w:sz w:val="28"/>
          <w:szCs w:val="20"/>
        </w:rPr>
      </w:pPr>
      <w:r w:rsidRPr="00F23A91">
        <w:rPr>
          <w:rFonts w:ascii="Arial" w:hAnsi="Arial" w:cs="Arial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D9B21E3" wp14:editId="53BD5B9D">
            <wp:simplePos x="0" y="0"/>
            <wp:positionH relativeFrom="margin">
              <wp:align>left</wp:align>
            </wp:positionH>
            <wp:positionV relativeFrom="paragraph">
              <wp:posOffset>-90182</wp:posOffset>
            </wp:positionV>
            <wp:extent cx="717550" cy="882015"/>
            <wp:effectExtent l="0" t="0" r="6350" b="0"/>
            <wp:wrapNone/>
            <wp:docPr id="4" name="Bilde 4" descr="C:\Users\olerii06\Desktop\vap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lerii06\Desktop\vape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3A91">
        <w:rPr>
          <w:rFonts w:ascii="Arial" w:hAnsi="Arial" w:cs="Arial"/>
          <w:sz w:val="40"/>
          <w:szCs w:val="20"/>
        </w:rPr>
        <w:t>RINGERIKE KOMMUNE</w:t>
      </w:r>
    </w:p>
    <w:p w14:paraId="123D881B" w14:textId="7FF42DDF" w:rsidR="00605A73" w:rsidRPr="00F23A91" w:rsidRDefault="00605A73" w:rsidP="00605A73">
      <w:pPr>
        <w:overflowPunct w:val="0"/>
        <w:autoSpaceDE w:val="0"/>
        <w:autoSpaceDN w:val="0"/>
        <w:adjustRightInd w:val="0"/>
        <w:ind w:left="1276"/>
        <w:textAlignment w:val="baseline"/>
        <w:rPr>
          <w:rFonts w:ascii="Arial" w:hAnsi="Arial" w:cs="Arial"/>
          <w:sz w:val="28"/>
          <w:szCs w:val="20"/>
        </w:rPr>
      </w:pPr>
    </w:p>
    <w:p w14:paraId="3EFF8649" w14:textId="12AE21CF" w:rsidR="00605A73" w:rsidRDefault="00605A73" w:rsidP="0016281D">
      <w:pPr>
        <w:jc w:val="center"/>
        <w:rPr>
          <w:rFonts w:ascii="Arial" w:hAnsi="Arial" w:cs="Arial"/>
          <w:sz w:val="28"/>
        </w:rPr>
      </w:pPr>
    </w:p>
    <w:p w14:paraId="257D376A" w14:textId="4E2F1CC1" w:rsidR="00605A73" w:rsidRPr="00AE270A" w:rsidRDefault="00605A73" w:rsidP="0016281D">
      <w:pPr>
        <w:jc w:val="center"/>
        <w:rPr>
          <w:rFonts w:ascii="Arial" w:hAnsi="Arial" w:cs="Arial"/>
          <w:sz w:val="28"/>
        </w:rPr>
      </w:pPr>
    </w:p>
    <w:p w14:paraId="4069C881" w14:textId="4BAC094A" w:rsidR="0016281D" w:rsidRPr="00605A73" w:rsidRDefault="0016281D" w:rsidP="00605A73">
      <w:pPr>
        <w:jc w:val="center"/>
        <w:rPr>
          <w:rFonts w:ascii="Arial" w:hAnsi="Arial" w:cs="Arial"/>
          <w:sz w:val="28"/>
        </w:rPr>
      </w:pPr>
      <w:r w:rsidRPr="00AE270A">
        <w:rPr>
          <w:rFonts w:ascii="Arial" w:hAnsi="Arial" w:cs="Arial"/>
          <w:sz w:val="28"/>
        </w:rPr>
        <w:t xml:space="preserve">VURDERING AV </w:t>
      </w:r>
      <w:r w:rsidR="00594FDB">
        <w:rPr>
          <w:rFonts w:ascii="Arial" w:hAnsi="Arial" w:cs="Arial"/>
          <w:sz w:val="28"/>
        </w:rPr>
        <w:t>UTTALELSER</w:t>
      </w:r>
      <w:r w:rsidRPr="00AE270A">
        <w:rPr>
          <w:rFonts w:ascii="Arial" w:hAnsi="Arial" w:cs="Arial"/>
          <w:sz w:val="28"/>
        </w:rPr>
        <w:t xml:space="preserve"> </w:t>
      </w:r>
      <w:r w:rsidR="00ED48F1">
        <w:rPr>
          <w:rFonts w:ascii="Arial" w:hAnsi="Arial" w:cs="Arial"/>
          <w:sz w:val="28"/>
        </w:rPr>
        <w:br/>
      </w:r>
      <w:r w:rsidR="001F3BF4">
        <w:rPr>
          <w:rFonts w:ascii="Arial" w:hAnsi="Arial" w:cs="Arial"/>
          <w:sz w:val="28"/>
        </w:rPr>
        <w:t>TIL</w:t>
      </w:r>
      <w:r w:rsidRPr="00AE270A">
        <w:rPr>
          <w:rFonts w:ascii="Arial" w:hAnsi="Arial" w:cs="Arial"/>
          <w:sz w:val="28"/>
        </w:rPr>
        <w:t xml:space="preserve"> </w:t>
      </w:r>
      <w:r w:rsidR="00594FDB">
        <w:rPr>
          <w:rFonts w:ascii="Arial" w:hAnsi="Arial" w:cs="Arial"/>
          <w:sz w:val="28"/>
        </w:rPr>
        <w:t>HØRING OG OFFENTLIG ETTERSYN</w:t>
      </w:r>
      <w:r w:rsidR="00DD0412" w:rsidRPr="00AE270A">
        <w:rPr>
          <w:rFonts w:ascii="Arial" w:hAnsi="Arial" w:cs="Arial"/>
          <w:sz w:val="28"/>
        </w:rPr>
        <w:t xml:space="preserve"> AV</w:t>
      </w:r>
    </w:p>
    <w:p w14:paraId="2AFA6F52" w14:textId="65A58354" w:rsidR="0016281D" w:rsidRPr="00AE270A" w:rsidRDefault="00EF1E6C" w:rsidP="0016281D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470</w:t>
      </w:r>
      <w:r w:rsidR="00605A73">
        <w:rPr>
          <w:rFonts w:ascii="Arial" w:hAnsi="Arial" w:cs="Arial"/>
          <w:sz w:val="28"/>
        </w:rPr>
        <w:t xml:space="preserve"> </w:t>
      </w:r>
      <w:r w:rsidR="0016281D" w:rsidRPr="00AE270A">
        <w:rPr>
          <w:rFonts w:ascii="Arial" w:hAnsi="Arial" w:cs="Arial"/>
          <w:sz w:val="28"/>
        </w:rPr>
        <w:t xml:space="preserve">Detaljregulering for </w:t>
      </w:r>
      <w:r>
        <w:rPr>
          <w:rFonts w:ascii="Arial" w:hAnsi="Arial" w:cs="Arial"/>
          <w:sz w:val="28"/>
        </w:rPr>
        <w:t>Djupedal mass</w:t>
      </w:r>
      <w:r w:rsidR="003A1834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>uttak</w:t>
      </w:r>
    </w:p>
    <w:p w14:paraId="648D5AD4" w14:textId="77777777" w:rsidR="0016281D" w:rsidRPr="00AE270A" w:rsidRDefault="0016281D">
      <w:pPr>
        <w:rPr>
          <w:rFonts w:ascii="Arial" w:hAnsi="Arial" w:cs="Arial"/>
        </w:rPr>
      </w:pPr>
    </w:p>
    <w:p w14:paraId="4C82460E" w14:textId="04683943" w:rsidR="006D46F4" w:rsidRPr="00F91EB0" w:rsidRDefault="006D46F4">
      <w:pPr>
        <w:rPr>
          <w:rFonts w:ascii="Arial" w:hAnsi="Arial" w:cs="Arial"/>
          <w:sz w:val="22"/>
        </w:rPr>
      </w:pPr>
      <w:r w:rsidRPr="00243B5A">
        <w:rPr>
          <w:rFonts w:ascii="Arial" w:hAnsi="Arial" w:cs="Arial"/>
          <w:sz w:val="22"/>
        </w:rPr>
        <w:t xml:space="preserve">Oppsummert og kommentert av </w:t>
      </w:r>
      <w:r w:rsidRPr="00F91EB0">
        <w:rPr>
          <w:rFonts w:ascii="Arial" w:hAnsi="Arial" w:cs="Arial"/>
          <w:sz w:val="22"/>
        </w:rPr>
        <w:t xml:space="preserve">forslagsstiller </w:t>
      </w:r>
      <w:r w:rsidR="00E1401A">
        <w:rPr>
          <w:rFonts w:ascii="Arial" w:hAnsi="Arial" w:cs="Arial"/>
          <w:sz w:val="22"/>
        </w:rPr>
        <w:t>14.08.2025</w:t>
      </w:r>
    </w:p>
    <w:p w14:paraId="1DE26024" w14:textId="0E22A8B3" w:rsidR="00393765" w:rsidRPr="00F91EB0" w:rsidRDefault="00D76808">
      <w:pPr>
        <w:rPr>
          <w:rFonts w:ascii="Arial" w:hAnsi="Arial" w:cs="Arial"/>
        </w:rPr>
      </w:pPr>
      <w:r w:rsidRPr="1D7F07C1">
        <w:rPr>
          <w:rFonts w:ascii="Arial" w:hAnsi="Arial" w:cs="Arial"/>
          <w:sz w:val="22"/>
          <w:szCs w:val="22"/>
        </w:rPr>
        <w:t xml:space="preserve">Kommentert av </w:t>
      </w:r>
      <w:r w:rsidR="047FABF0" w:rsidRPr="1D7F07C1">
        <w:rPr>
          <w:rFonts w:ascii="Arial" w:hAnsi="Arial" w:cs="Arial"/>
          <w:sz w:val="22"/>
          <w:szCs w:val="22"/>
        </w:rPr>
        <w:t>kommunedirektøren</w:t>
      </w:r>
      <w:r w:rsidRPr="1D7F07C1">
        <w:rPr>
          <w:rFonts w:ascii="Arial" w:hAnsi="Arial" w:cs="Arial"/>
          <w:sz w:val="22"/>
          <w:szCs w:val="22"/>
        </w:rPr>
        <w:t xml:space="preserve"> </w:t>
      </w:r>
      <w:r w:rsidR="00EF1E6C">
        <w:rPr>
          <w:rFonts w:ascii="Arial" w:hAnsi="Arial" w:cs="Arial"/>
          <w:sz w:val="22"/>
          <w:szCs w:val="22"/>
        </w:rPr>
        <w:t>24.11.2025</w:t>
      </w:r>
    </w:p>
    <w:p w14:paraId="5CB91984" w14:textId="215E7C3E" w:rsidR="0016281D" w:rsidRPr="00AE270A" w:rsidRDefault="0016281D">
      <w:pPr>
        <w:rPr>
          <w:rFonts w:ascii="Arial" w:hAnsi="Arial" w:cs="Arial"/>
        </w:rPr>
      </w:pPr>
    </w:p>
    <w:p w14:paraId="4414D13E" w14:textId="516DEDFA" w:rsidR="0016281D" w:rsidRPr="00AE270A" w:rsidRDefault="0016281D" w:rsidP="0016281D">
      <w:pPr>
        <w:pStyle w:val="Brdtekst"/>
        <w:rPr>
          <w:rFonts w:ascii="Arial" w:hAnsi="Arial" w:cs="Arial"/>
          <w:i w:val="0"/>
          <w:sz w:val="22"/>
          <w:szCs w:val="22"/>
          <w:u w:val="single"/>
        </w:rPr>
      </w:pPr>
      <w:r w:rsidRPr="00AE270A">
        <w:rPr>
          <w:rFonts w:ascii="Arial" w:hAnsi="Arial" w:cs="Arial"/>
          <w:i w:val="0"/>
          <w:sz w:val="22"/>
          <w:szCs w:val="22"/>
          <w:u w:val="single"/>
        </w:rPr>
        <w:t xml:space="preserve">Liste over </w:t>
      </w:r>
      <w:r w:rsidR="00594FDB">
        <w:rPr>
          <w:rFonts w:ascii="Arial" w:hAnsi="Arial" w:cs="Arial"/>
          <w:i w:val="0"/>
          <w:sz w:val="22"/>
          <w:szCs w:val="22"/>
          <w:u w:val="single"/>
        </w:rPr>
        <w:t>uttalelser</w:t>
      </w:r>
    </w:p>
    <w:p w14:paraId="6DAC0DC3" w14:textId="77777777" w:rsidR="0016281D" w:rsidRPr="00AE270A" w:rsidRDefault="0016281D" w:rsidP="0016281D">
      <w:pPr>
        <w:rPr>
          <w:rFonts w:ascii="Arial" w:hAnsi="Arial" w:cs="Arial"/>
          <w:sz w:val="22"/>
          <w:szCs w:val="22"/>
        </w:rPr>
      </w:pPr>
    </w:p>
    <w:tbl>
      <w:tblPr>
        <w:tblW w:w="9294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673"/>
      </w:tblGrid>
      <w:tr w:rsidR="0016281D" w:rsidRPr="00ED48F1" w14:paraId="15523891" w14:textId="77777777" w:rsidTr="00605A73">
        <w:tc>
          <w:tcPr>
            <w:tcW w:w="675" w:type="dxa"/>
            <w:shd w:val="clear" w:color="auto" w:fill="75D4CB"/>
          </w:tcPr>
          <w:p w14:paraId="7C98F4A9" w14:textId="77777777" w:rsidR="0016281D" w:rsidRPr="00ED48F1" w:rsidRDefault="0016281D" w:rsidP="001628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48F1">
              <w:rPr>
                <w:rFonts w:ascii="Arial" w:hAnsi="Arial" w:cs="Arial"/>
                <w:b/>
                <w:sz w:val="22"/>
                <w:szCs w:val="22"/>
              </w:rPr>
              <w:t>Nr</w:t>
            </w:r>
            <w:r w:rsidR="00283D0E" w:rsidRPr="00ED48F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shd w:val="clear" w:color="auto" w:fill="75D4CB"/>
          </w:tcPr>
          <w:p w14:paraId="12EEFD4B" w14:textId="77777777" w:rsidR="0016281D" w:rsidRPr="00ED48F1" w:rsidRDefault="0016281D" w:rsidP="001628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48F1">
              <w:rPr>
                <w:rFonts w:ascii="Arial" w:hAnsi="Arial" w:cs="Arial"/>
                <w:b/>
                <w:sz w:val="22"/>
                <w:szCs w:val="22"/>
              </w:rPr>
              <w:t>Navn</w:t>
            </w:r>
          </w:p>
        </w:tc>
        <w:tc>
          <w:tcPr>
            <w:tcW w:w="1673" w:type="dxa"/>
            <w:shd w:val="clear" w:color="auto" w:fill="75D4CB"/>
          </w:tcPr>
          <w:p w14:paraId="7577F07F" w14:textId="77777777" w:rsidR="0016281D" w:rsidRPr="00ED48F1" w:rsidRDefault="0016281D" w:rsidP="001628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48F1">
              <w:rPr>
                <w:rFonts w:ascii="Arial" w:hAnsi="Arial" w:cs="Arial"/>
                <w:b/>
                <w:sz w:val="22"/>
                <w:szCs w:val="22"/>
              </w:rPr>
              <w:t>Dato</w:t>
            </w:r>
          </w:p>
        </w:tc>
      </w:tr>
      <w:tr w:rsidR="00885B37" w:rsidRPr="00ED48F1" w14:paraId="15FA753E" w14:textId="77777777" w:rsidTr="00605A73">
        <w:tc>
          <w:tcPr>
            <w:tcW w:w="675" w:type="dxa"/>
          </w:tcPr>
          <w:p w14:paraId="0E50D30B" w14:textId="373FBFC1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ED48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14:paraId="4DBD0198" w14:textId="181F7821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E34DDA">
              <w:rPr>
                <w:rFonts w:ascii="Arial" w:hAnsi="Arial" w:cs="Arial"/>
                <w:sz w:val="22"/>
                <w:szCs w:val="22"/>
              </w:rPr>
              <w:t>Statsforvalteren 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34DDA">
              <w:rPr>
                <w:rFonts w:ascii="Arial" w:hAnsi="Arial" w:cs="Arial"/>
                <w:sz w:val="22"/>
                <w:szCs w:val="22"/>
              </w:rPr>
              <w:t>Østfold, Buskerud,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34DDA">
              <w:rPr>
                <w:rFonts w:ascii="Arial" w:hAnsi="Arial" w:cs="Arial"/>
                <w:sz w:val="22"/>
                <w:szCs w:val="22"/>
              </w:rPr>
              <w:t>Oslo og Akershus</w:t>
            </w:r>
          </w:p>
        </w:tc>
        <w:tc>
          <w:tcPr>
            <w:tcW w:w="1673" w:type="dxa"/>
          </w:tcPr>
          <w:p w14:paraId="66F311B0" w14:textId="5B4B7409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27.06.2025</w:t>
            </w:r>
          </w:p>
        </w:tc>
      </w:tr>
      <w:tr w:rsidR="00885B37" w:rsidRPr="00ED48F1" w14:paraId="34BEA661" w14:textId="77777777" w:rsidTr="00605A73">
        <w:tc>
          <w:tcPr>
            <w:tcW w:w="675" w:type="dxa"/>
          </w:tcPr>
          <w:p w14:paraId="44707901" w14:textId="23AC2056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ED48F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29DEFF05" w14:textId="69FB1479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NVE</w:t>
            </w:r>
          </w:p>
        </w:tc>
        <w:tc>
          <w:tcPr>
            <w:tcW w:w="1673" w:type="dxa"/>
          </w:tcPr>
          <w:p w14:paraId="6AEA2C9E" w14:textId="78AF6B30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12.06.2025</w:t>
            </w:r>
          </w:p>
        </w:tc>
      </w:tr>
      <w:tr w:rsidR="00885B37" w:rsidRPr="00ED48F1" w14:paraId="39758E8F" w14:textId="77777777" w:rsidTr="00605A73">
        <w:tc>
          <w:tcPr>
            <w:tcW w:w="675" w:type="dxa"/>
          </w:tcPr>
          <w:p w14:paraId="1101B02E" w14:textId="1D615930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ED48F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08D09F7E" w14:textId="5898040D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7D7625">
              <w:rPr>
                <w:rFonts w:ascii="Arial" w:hAnsi="Arial" w:cs="Arial"/>
                <w:sz w:val="22"/>
                <w:szCs w:val="22"/>
              </w:rPr>
              <w:t>Buskerud fylkeskommune</w:t>
            </w:r>
          </w:p>
        </w:tc>
        <w:tc>
          <w:tcPr>
            <w:tcW w:w="1673" w:type="dxa"/>
          </w:tcPr>
          <w:p w14:paraId="468362E4" w14:textId="7CAFFC2E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27.06.2025</w:t>
            </w:r>
          </w:p>
        </w:tc>
      </w:tr>
      <w:tr w:rsidR="00885B37" w:rsidRPr="00ED48F1" w14:paraId="7F37CEFC" w14:textId="77777777" w:rsidTr="00605A73">
        <w:tc>
          <w:tcPr>
            <w:tcW w:w="675" w:type="dxa"/>
          </w:tcPr>
          <w:p w14:paraId="4519F0AC" w14:textId="3AA74707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ED48F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0F32BFEB" w14:textId="0836775C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AF5AE7">
              <w:rPr>
                <w:rFonts w:ascii="Arial" w:hAnsi="Arial" w:cs="Arial"/>
                <w:sz w:val="22"/>
                <w:szCs w:val="22"/>
              </w:rPr>
              <w:t>Direktoratet 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5AE7">
              <w:rPr>
                <w:rFonts w:ascii="Arial" w:hAnsi="Arial" w:cs="Arial"/>
                <w:sz w:val="22"/>
                <w:szCs w:val="22"/>
              </w:rPr>
              <w:t>mineralforvaltning</w:t>
            </w:r>
          </w:p>
        </w:tc>
        <w:tc>
          <w:tcPr>
            <w:tcW w:w="1673" w:type="dxa"/>
          </w:tcPr>
          <w:p w14:paraId="28F94E26" w14:textId="066A78B6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23.06.2025</w:t>
            </w:r>
          </w:p>
        </w:tc>
      </w:tr>
      <w:tr w:rsidR="00885B37" w:rsidRPr="00ED48F1" w14:paraId="7E0284B5" w14:textId="77777777" w:rsidTr="00605A73">
        <w:tc>
          <w:tcPr>
            <w:tcW w:w="675" w:type="dxa"/>
          </w:tcPr>
          <w:p w14:paraId="6DEAD398" w14:textId="3E5CA10C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ED48F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64C471A4" w14:textId="185D713E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4743C9">
              <w:rPr>
                <w:rFonts w:ascii="Arial" w:hAnsi="Arial" w:cs="Arial"/>
                <w:sz w:val="22"/>
                <w:szCs w:val="22"/>
              </w:rPr>
              <w:t>Statens vegvesen</w:t>
            </w:r>
          </w:p>
        </w:tc>
        <w:tc>
          <w:tcPr>
            <w:tcW w:w="1673" w:type="dxa"/>
          </w:tcPr>
          <w:p w14:paraId="5F48917E" w14:textId="3DA5854E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20.05.2025</w:t>
            </w:r>
          </w:p>
        </w:tc>
      </w:tr>
      <w:tr w:rsidR="00885B37" w:rsidRPr="00ED48F1" w14:paraId="3664C723" w14:textId="77777777" w:rsidTr="00605A73">
        <w:tc>
          <w:tcPr>
            <w:tcW w:w="675" w:type="dxa"/>
          </w:tcPr>
          <w:p w14:paraId="41AA1036" w14:textId="029B2A78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ED48F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946" w:type="dxa"/>
          </w:tcPr>
          <w:p w14:paraId="343CB638" w14:textId="5207C9E7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E634AC">
              <w:rPr>
                <w:rFonts w:ascii="Arial" w:hAnsi="Arial" w:cs="Arial"/>
                <w:sz w:val="22"/>
                <w:szCs w:val="22"/>
              </w:rPr>
              <w:t>Interkommunal samfunnsmedisinsk enhet i Ringeriksregionen</w:t>
            </w:r>
          </w:p>
        </w:tc>
        <w:tc>
          <w:tcPr>
            <w:tcW w:w="1673" w:type="dxa"/>
          </w:tcPr>
          <w:p w14:paraId="18274A94" w14:textId="11F7DB1A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14.05.2025</w:t>
            </w:r>
          </w:p>
        </w:tc>
      </w:tr>
      <w:tr w:rsidR="00885B37" w:rsidRPr="00ED48F1" w14:paraId="42916581" w14:textId="77777777" w:rsidTr="00605A73">
        <w:tc>
          <w:tcPr>
            <w:tcW w:w="675" w:type="dxa"/>
          </w:tcPr>
          <w:p w14:paraId="53386C78" w14:textId="15B900A8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ED48F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946" w:type="dxa"/>
          </w:tcPr>
          <w:p w14:paraId="36A620DE" w14:textId="17234537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712E39">
              <w:rPr>
                <w:rFonts w:ascii="Arial" w:hAnsi="Arial" w:cs="Arial"/>
                <w:sz w:val="22"/>
                <w:szCs w:val="22"/>
              </w:rPr>
              <w:t>Mattilsynet</w:t>
            </w:r>
          </w:p>
        </w:tc>
        <w:tc>
          <w:tcPr>
            <w:tcW w:w="1673" w:type="dxa"/>
          </w:tcPr>
          <w:p w14:paraId="1E47C65B" w14:textId="6C9D3F25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24.06.2025</w:t>
            </w:r>
          </w:p>
        </w:tc>
      </w:tr>
      <w:tr w:rsidR="00885B37" w:rsidRPr="00ED48F1" w14:paraId="7D928BE6" w14:textId="77777777" w:rsidTr="00605A73">
        <w:tc>
          <w:tcPr>
            <w:tcW w:w="675" w:type="dxa"/>
          </w:tcPr>
          <w:p w14:paraId="5EEFD489" w14:textId="755AF64F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ED48F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946" w:type="dxa"/>
          </w:tcPr>
          <w:p w14:paraId="31B98155" w14:textId="3EF77F43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 w:rsidRPr="00A664F3">
              <w:rPr>
                <w:rFonts w:ascii="Arial" w:hAnsi="Arial" w:cs="Arial"/>
                <w:sz w:val="22"/>
                <w:szCs w:val="22"/>
              </w:rPr>
              <w:t>Wilhelm P. C. Blystad på vegne Av Tyttebærmoen Eiendom AS</w:t>
            </w:r>
          </w:p>
        </w:tc>
        <w:tc>
          <w:tcPr>
            <w:tcW w:w="1673" w:type="dxa"/>
          </w:tcPr>
          <w:p w14:paraId="34A3737F" w14:textId="678C7250" w:rsidR="00885B37" w:rsidRPr="00ED48F1" w:rsidRDefault="00885B37" w:rsidP="00885B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25.06.2025</w:t>
            </w:r>
          </w:p>
        </w:tc>
      </w:tr>
      <w:tr w:rsidR="003B350F" w:rsidRPr="00ED48F1" w14:paraId="04162149" w14:textId="77777777" w:rsidTr="00605A73">
        <w:tc>
          <w:tcPr>
            <w:tcW w:w="675" w:type="dxa"/>
          </w:tcPr>
          <w:p w14:paraId="7A0E02AB" w14:textId="7156E078" w:rsidR="003B350F" w:rsidRPr="00ED48F1" w:rsidRDefault="003B350F" w:rsidP="003B35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6894DBD" w14:textId="2A6F49B3" w:rsidR="003B350F" w:rsidRPr="00ED48F1" w:rsidRDefault="003B350F" w:rsidP="003B35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3" w:type="dxa"/>
          </w:tcPr>
          <w:p w14:paraId="5C7809A0" w14:textId="770C358D" w:rsidR="003B350F" w:rsidRPr="00ED48F1" w:rsidRDefault="003B350F" w:rsidP="003B35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6D6BAC" w14:textId="77777777" w:rsidR="00393765" w:rsidRPr="00ED48F1" w:rsidRDefault="00393765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544"/>
        <w:gridCol w:w="2779"/>
        <w:gridCol w:w="3033"/>
      </w:tblGrid>
      <w:tr w:rsidR="00F73639" w:rsidRPr="00ED48F1" w14:paraId="30967996" w14:textId="77777777" w:rsidTr="007A2F60">
        <w:tc>
          <w:tcPr>
            <w:tcW w:w="3544" w:type="dxa"/>
            <w:tcBorders>
              <w:bottom w:val="single" w:sz="4" w:space="0" w:color="auto"/>
            </w:tcBorders>
            <w:shd w:val="clear" w:color="auto" w:fill="75D4CB"/>
          </w:tcPr>
          <w:p w14:paraId="43C876EE" w14:textId="5AD3858D" w:rsidR="00AD4C0E" w:rsidRPr="00ED48F1" w:rsidRDefault="00AD4C0E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D48F1">
              <w:rPr>
                <w:rFonts w:ascii="Arial" w:hAnsi="Arial" w:cs="Arial"/>
                <w:b/>
                <w:sz w:val="22"/>
                <w:szCs w:val="22"/>
              </w:rPr>
              <w:t xml:space="preserve">Oppsummering av </w:t>
            </w:r>
            <w:r w:rsidR="00594FDB">
              <w:rPr>
                <w:rFonts w:ascii="Arial" w:hAnsi="Arial" w:cs="Arial"/>
                <w:b/>
                <w:sz w:val="22"/>
                <w:szCs w:val="22"/>
              </w:rPr>
              <w:t>uttalelse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75D4CB"/>
          </w:tcPr>
          <w:p w14:paraId="7C87734E" w14:textId="77777777" w:rsidR="00AD4C0E" w:rsidRPr="00ED48F1" w:rsidRDefault="00AD4C0E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D48F1">
              <w:rPr>
                <w:rFonts w:ascii="Arial" w:hAnsi="Arial" w:cs="Arial"/>
                <w:b/>
                <w:sz w:val="22"/>
                <w:szCs w:val="22"/>
              </w:rPr>
              <w:t>Forslagsstillers kommentar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75D4CB"/>
          </w:tcPr>
          <w:p w14:paraId="735F7849" w14:textId="3B8077BC" w:rsidR="00AD4C0E" w:rsidRPr="00ED48F1" w:rsidRDefault="41E40D8C" w:rsidP="1D7F07C1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D7F07C1">
              <w:rPr>
                <w:rFonts w:ascii="Arial" w:hAnsi="Arial" w:cs="Arial"/>
                <w:b/>
                <w:bCs/>
                <w:sz w:val="22"/>
                <w:szCs w:val="22"/>
              </w:rPr>
              <w:t>Kommunedirektørens</w:t>
            </w:r>
            <w:r w:rsidR="00AD4C0E" w:rsidRPr="1D7F0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kommentar</w:t>
            </w:r>
          </w:p>
        </w:tc>
      </w:tr>
      <w:tr w:rsidR="00F73639" w:rsidRPr="00ED48F1" w14:paraId="703EBC65" w14:textId="77777777" w:rsidTr="007A2F6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2EC" w14:textId="0DFCEA76" w:rsidR="00C940A6" w:rsidRPr="00C940A6" w:rsidRDefault="00C940A6" w:rsidP="001F6C8B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40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Pr="00E34DDA">
              <w:rPr>
                <w:rFonts w:ascii="Arial" w:hAnsi="Arial" w:cs="Arial"/>
                <w:b/>
                <w:bCs/>
                <w:sz w:val="22"/>
                <w:szCs w:val="22"/>
              </w:rPr>
              <w:t>Statsforvalteren i</w:t>
            </w:r>
            <w:r w:rsidRPr="00C940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34DDA">
              <w:rPr>
                <w:rFonts w:ascii="Arial" w:hAnsi="Arial" w:cs="Arial"/>
                <w:b/>
                <w:bCs/>
                <w:sz w:val="22"/>
                <w:szCs w:val="22"/>
              </w:rPr>
              <w:t>Østfold, Buskerud,</w:t>
            </w:r>
            <w:r w:rsidRPr="00C940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34DDA">
              <w:rPr>
                <w:rFonts w:ascii="Arial" w:hAnsi="Arial" w:cs="Arial"/>
                <w:b/>
                <w:bCs/>
                <w:sz w:val="22"/>
                <w:szCs w:val="22"/>
              </w:rPr>
              <w:t>Oslo og Akershus</w:t>
            </w:r>
          </w:p>
          <w:p w14:paraId="7CB97505" w14:textId="0983F4B5" w:rsidR="001F6C8B" w:rsidRPr="001F6C8B" w:rsidRDefault="001F6C8B" w:rsidP="001F6C8B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F6C8B">
              <w:rPr>
                <w:rFonts w:ascii="Arial" w:hAnsi="Arial" w:cs="Arial"/>
                <w:sz w:val="22"/>
                <w:szCs w:val="22"/>
                <w:u w:val="single"/>
              </w:rPr>
              <w:t>Naturmangfold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Pr="001F6C8B">
              <w:rPr>
                <w:rFonts w:ascii="Arial" w:hAnsi="Arial" w:cs="Arial"/>
                <w:sz w:val="22"/>
                <w:szCs w:val="22"/>
              </w:rPr>
              <w:t>Området er kartlagt og verdiene som er funnet er sikret gjennom arealformål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og bestemmelser.</w:t>
            </w:r>
          </w:p>
          <w:p w14:paraId="4EF9BCCC" w14:textId="153D55C6" w:rsidR="001F6C8B" w:rsidRPr="001F6C8B" w:rsidRDefault="001F6C8B" w:rsidP="001F6C8B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F6C8B">
              <w:rPr>
                <w:rFonts w:ascii="Arial" w:hAnsi="Arial" w:cs="Arial"/>
                <w:sz w:val="22"/>
                <w:szCs w:val="22"/>
                <w:u w:val="single"/>
              </w:rPr>
              <w:t>Vassdrag og vannmiljø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Pr="001F6C8B">
              <w:rPr>
                <w:rFonts w:ascii="Arial" w:hAnsi="Arial" w:cs="Arial"/>
                <w:sz w:val="22"/>
                <w:szCs w:val="22"/>
              </w:rPr>
              <w:t>Ut fra fagnotatene er det i dag ikke utslipp av overvann fra planområdet til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vassdraget, og forslaget til reguleringsplan legger heller ikke opp til direkte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utslipp av overvann til vassdraget. Det er derfor vurdert at tiltaket ikke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medfører endringer i tilstanden i nærliggende resipienter og 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vannforskriften er ivaretatt.</w:t>
            </w:r>
            <w:r w:rsidR="000B2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Forslaget til</w:t>
            </w:r>
            <w:r w:rsidR="000B2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reguleringsbestemmelser fastsetter</w:t>
            </w:r>
            <w:r w:rsidR="000B2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at overvann skal ledes og fordrøyes slik at det ikke fører til forurensning av</w:t>
            </w:r>
            <w:r w:rsidR="000B2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nærliggende vassdrag. Statsforvalteren anbefaler likevel økt avstand til bekk</w:t>
            </w:r>
            <w:r w:rsidR="000B2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fra 20 til 50 meter.</w:t>
            </w:r>
          </w:p>
          <w:p w14:paraId="47F6DB14" w14:textId="79CDC643" w:rsidR="001F6C8B" w:rsidRPr="001F6C8B" w:rsidRDefault="001F6C8B" w:rsidP="001F6C8B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F6C8B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Pukkverksdrift</w:t>
            </w:r>
            <w:r w:rsidR="000B2173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Pr="001F6C8B">
              <w:rPr>
                <w:rFonts w:ascii="Arial" w:hAnsi="Arial" w:cs="Arial"/>
                <w:sz w:val="22"/>
                <w:szCs w:val="22"/>
              </w:rPr>
              <w:t>Djupdalen masseuttak er et eksisterende masseuttak, men vi kan ikke se å ha</w:t>
            </w:r>
            <w:r w:rsidR="000B2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mottatt meldeskjema fra drifter av anlegget i tråd med</w:t>
            </w:r>
            <w:r w:rsidR="000B2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forurensningsforskriften kapittel 30. Vi ser det som positivt at det er satt</w:t>
            </w:r>
            <w:r w:rsidR="000B2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planbestemmelser knyttet til ytre miljø, men driften av uttaket må allikevel</w:t>
            </w:r>
            <w:r w:rsidR="000B2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forholde seg til krav fastsatt i forurensningsforskriften kap. 30.</w:t>
            </w:r>
          </w:p>
          <w:p w14:paraId="17C34D15" w14:textId="3F199A61" w:rsidR="004465C8" w:rsidRPr="00922884" w:rsidRDefault="001F6C8B" w:rsidP="00F91EB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F6C8B">
              <w:rPr>
                <w:rFonts w:ascii="Arial" w:hAnsi="Arial" w:cs="Arial"/>
                <w:sz w:val="22"/>
                <w:szCs w:val="22"/>
                <w:u w:val="single"/>
              </w:rPr>
              <w:t>Mottak og deponering av gravemasser</w:t>
            </w:r>
            <w:r w:rsidR="0034087F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Pr="001F6C8B">
              <w:rPr>
                <w:rFonts w:ascii="Arial" w:hAnsi="Arial" w:cs="Arial"/>
                <w:sz w:val="22"/>
                <w:szCs w:val="22"/>
              </w:rPr>
              <w:t>Gjør oppmerksom på reglene i forurensningsloven og at det må gjøres</w:t>
            </w:r>
            <w:r w:rsidR="00340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C8B">
              <w:rPr>
                <w:rFonts w:ascii="Arial" w:hAnsi="Arial" w:cs="Arial"/>
                <w:sz w:val="22"/>
                <w:szCs w:val="22"/>
              </w:rPr>
              <w:t>stedsspesifikk vurdering av forurensningspotensial.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6BE" w14:textId="77777777" w:rsidR="00C940A6" w:rsidRDefault="00C940A6" w:rsidP="0034087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AB697FB" w14:textId="77777777" w:rsidR="00C940A6" w:rsidRDefault="00C940A6" w:rsidP="0034087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8E3A79B" w14:textId="1BB85C38" w:rsidR="0034087F" w:rsidRDefault="00637D04" w:rsidP="0034087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37D04">
              <w:rPr>
                <w:rFonts w:ascii="Arial" w:hAnsi="Arial" w:cs="Arial"/>
                <w:sz w:val="22"/>
                <w:szCs w:val="22"/>
                <w:u w:val="single"/>
              </w:rPr>
              <w:t>Naturmangfold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34087F" w:rsidRPr="0034087F">
              <w:rPr>
                <w:rFonts w:ascii="Arial" w:hAnsi="Arial" w:cs="Arial"/>
                <w:sz w:val="22"/>
                <w:szCs w:val="22"/>
              </w:rPr>
              <w:t>Tas til orientering.</w:t>
            </w:r>
          </w:p>
          <w:p w14:paraId="20825C21" w14:textId="50D1CAAF" w:rsidR="0034087F" w:rsidRPr="0034087F" w:rsidRDefault="00637D04" w:rsidP="0034087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37D04">
              <w:rPr>
                <w:rFonts w:ascii="Arial" w:hAnsi="Arial" w:cs="Arial"/>
                <w:sz w:val="22"/>
                <w:szCs w:val="22"/>
                <w:u w:val="single"/>
              </w:rPr>
              <w:t>Vassdrag og vannmiljø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34087F" w:rsidRPr="0034087F">
              <w:rPr>
                <w:rFonts w:ascii="Arial" w:hAnsi="Arial" w:cs="Arial"/>
                <w:sz w:val="22"/>
                <w:szCs w:val="22"/>
              </w:rPr>
              <w:t>Statsforvalteren vurderer at vannforskriften er ivaretatt.</w:t>
            </w:r>
            <w:r w:rsidR="00340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87F" w:rsidRPr="0034087F">
              <w:rPr>
                <w:rFonts w:ascii="Arial" w:hAnsi="Arial" w:cs="Arial"/>
                <w:sz w:val="22"/>
                <w:szCs w:val="22"/>
              </w:rPr>
              <w:t>Arealplanlegging handler om avveiing mellom bruk og vern. Arealet i</w:t>
            </w:r>
            <w:r w:rsidR="00340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87F" w:rsidRPr="0034087F">
              <w:rPr>
                <w:rFonts w:ascii="Arial" w:hAnsi="Arial" w:cs="Arial"/>
                <w:sz w:val="22"/>
                <w:szCs w:val="22"/>
              </w:rPr>
              <w:t>reguleringsplanen har vært brukt til masseuttak i mange år og</w:t>
            </w:r>
            <w:r w:rsidR="00340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87F" w:rsidRPr="0034087F">
              <w:rPr>
                <w:rFonts w:ascii="Arial" w:hAnsi="Arial" w:cs="Arial"/>
                <w:sz w:val="22"/>
                <w:szCs w:val="22"/>
              </w:rPr>
              <w:t>utvidelsen er innarbeidet i kommuneplanen. Planen sikrer at det ikke</w:t>
            </w:r>
            <w:r w:rsidR="00340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87F" w:rsidRPr="0034087F">
              <w:rPr>
                <w:rFonts w:ascii="Arial" w:hAnsi="Arial" w:cs="Arial"/>
                <w:sz w:val="22"/>
                <w:szCs w:val="22"/>
              </w:rPr>
              <w:t>kommer avrenning til bekkene og en utvidelse av sonene langs bekkene</w:t>
            </w:r>
            <w:r w:rsidR="00340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87F" w:rsidRPr="0034087F">
              <w:rPr>
                <w:rFonts w:ascii="Arial" w:hAnsi="Arial" w:cs="Arial"/>
                <w:sz w:val="22"/>
                <w:szCs w:val="22"/>
              </w:rPr>
              <w:t>vil medføre sterk reduksjon av uttaksvolumet og dermed hele formålet</w:t>
            </w:r>
            <w:r w:rsidR="00340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87F" w:rsidRPr="0034087F">
              <w:rPr>
                <w:rFonts w:ascii="Arial" w:hAnsi="Arial" w:cs="Arial"/>
                <w:sz w:val="22"/>
                <w:szCs w:val="22"/>
              </w:rPr>
              <w:t xml:space="preserve">med planen. I avveiing </w:t>
            </w:r>
            <w:r w:rsidR="0034087F" w:rsidRPr="0034087F">
              <w:rPr>
                <w:rFonts w:ascii="Arial" w:hAnsi="Arial" w:cs="Arial"/>
                <w:sz w:val="22"/>
                <w:szCs w:val="22"/>
              </w:rPr>
              <w:lastRenderedPageBreak/>
              <w:t>mellom bruk og vern må en derfor være fornøyd</w:t>
            </w:r>
            <w:r w:rsidR="00340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87F" w:rsidRPr="0034087F">
              <w:rPr>
                <w:rFonts w:ascii="Arial" w:hAnsi="Arial" w:cs="Arial"/>
                <w:sz w:val="22"/>
                <w:szCs w:val="22"/>
              </w:rPr>
              <w:t>med at vannforskriften tilfredsstilles, men samtidig godta at en på en</w:t>
            </w:r>
            <w:r w:rsidR="00340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87F" w:rsidRPr="0034087F">
              <w:rPr>
                <w:rFonts w:ascii="Arial" w:hAnsi="Arial" w:cs="Arial"/>
                <w:sz w:val="22"/>
                <w:szCs w:val="22"/>
              </w:rPr>
              <w:t>strekning er nærmere vassdraget enn det som er ideelt fra et rent</w:t>
            </w:r>
            <w:r w:rsidR="00340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87F" w:rsidRPr="0034087F">
              <w:rPr>
                <w:rFonts w:ascii="Arial" w:hAnsi="Arial" w:cs="Arial"/>
                <w:sz w:val="22"/>
                <w:szCs w:val="22"/>
              </w:rPr>
              <w:t>bevaringsperspektiv.</w:t>
            </w:r>
          </w:p>
          <w:p w14:paraId="4415283E" w14:textId="61D9EF55" w:rsidR="0034087F" w:rsidRPr="0034087F" w:rsidRDefault="00637D04" w:rsidP="0034087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37D04">
              <w:rPr>
                <w:rFonts w:ascii="Arial" w:hAnsi="Arial" w:cs="Arial"/>
                <w:sz w:val="22"/>
                <w:szCs w:val="22"/>
                <w:u w:val="single"/>
              </w:rPr>
              <w:t>Pukkverksdrift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34087F" w:rsidRPr="0034087F">
              <w:rPr>
                <w:rFonts w:ascii="Arial" w:hAnsi="Arial" w:cs="Arial"/>
                <w:sz w:val="22"/>
                <w:szCs w:val="22"/>
              </w:rPr>
              <w:t>Tas til orientering. Vil bli avklart gjennom meldeskjema.</w:t>
            </w:r>
          </w:p>
          <w:p w14:paraId="3A70CD16" w14:textId="71C365BB" w:rsidR="004465C8" w:rsidRPr="00ED48F1" w:rsidRDefault="00637D04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F6C8B">
              <w:rPr>
                <w:rFonts w:ascii="Arial" w:hAnsi="Arial" w:cs="Arial"/>
                <w:sz w:val="22"/>
                <w:szCs w:val="22"/>
                <w:u w:val="single"/>
              </w:rPr>
              <w:t>Mottak og deponering av gravemasser</w:t>
            </w:r>
            <w:r w:rsidR="00547FAA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="0034087F" w:rsidRPr="0034087F">
              <w:rPr>
                <w:rFonts w:ascii="Arial" w:hAnsi="Arial" w:cs="Arial"/>
                <w:sz w:val="22"/>
                <w:szCs w:val="22"/>
              </w:rPr>
              <w:t>Tas til orientering.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4E2C" w14:textId="77777777" w:rsidR="004465C8" w:rsidRDefault="004465C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B061893" w14:textId="77777777" w:rsidR="00377B01" w:rsidRDefault="00377B01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076A9A8" w14:textId="07BBC07E" w:rsidR="00C67F4B" w:rsidRPr="00377B01" w:rsidRDefault="00377B01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37D04">
              <w:rPr>
                <w:rFonts w:ascii="Arial" w:hAnsi="Arial" w:cs="Arial"/>
                <w:sz w:val="22"/>
                <w:szCs w:val="22"/>
                <w:u w:val="single"/>
              </w:rPr>
              <w:t>Naturmangfold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4087F">
              <w:rPr>
                <w:rFonts w:ascii="Arial" w:hAnsi="Arial" w:cs="Arial"/>
                <w:sz w:val="22"/>
                <w:szCs w:val="22"/>
              </w:rPr>
              <w:t>Tas til orientering.</w:t>
            </w:r>
          </w:p>
          <w:p w14:paraId="2D472F75" w14:textId="316C36D6" w:rsidR="00806C31" w:rsidRDefault="00F73639" w:rsidP="00F7363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  <w:r w:rsidRPr="00F73639">
              <w:rPr>
                <w:rFonts w:ascii="Arial" w:hAnsi="Arial" w:cs="Arial"/>
                <w:iCs/>
                <w:sz w:val="22"/>
                <w:szCs w:val="22"/>
                <w:u w:val="single"/>
              </w:rPr>
              <w:t>Vassdrag og vannmiljø</w:t>
            </w:r>
            <w:r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F73639">
              <w:rPr>
                <w:rFonts w:ascii="Arial" w:hAnsi="Arial" w:cs="Arial"/>
                <w:iCs/>
                <w:sz w:val="22"/>
                <w:szCs w:val="22"/>
              </w:rPr>
              <w:t>Prøvetakningsprogrammet for å avdekke eventuell forurensning/påvirkning av sidebekkene, og bestemmelsen om programmet, er oppdatert etter innspill</w:t>
            </w:r>
            <w:r w:rsidR="00377B01">
              <w:rPr>
                <w:rFonts w:ascii="Arial" w:hAnsi="Arial" w:cs="Arial"/>
                <w:iCs/>
                <w:sz w:val="22"/>
                <w:szCs w:val="22"/>
              </w:rPr>
              <w:t>et</w:t>
            </w:r>
            <w:r w:rsidRPr="00F73639">
              <w:rPr>
                <w:rFonts w:ascii="Arial" w:hAnsi="Arial" w:cs="Arial"/>
                <w:iCs/>
                <w:sz w:val="22"/>
                <w:szCs w:val="22"/>
              </w:rPr>
              <w:t xml:space="preserve">. Avstanden til bekken er ikke økt til 50 meter. Siden vannforskriften er vurdert ivaretatt, og det er utarbeidet prøvetakningsprogram for å fange opp eventuell forurensning, vurderer kommunedirektøren at det ikke er nødvendig å øke avstanden til 50 meter. </w:t>
            </w:r>
          </w:p>
          <w:p w14:paraId="228BAB0D" w14:textId="77777777" w:rsidR="00806C31" w:rsidRDefault="00806C31" w:rsidP="00F7363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DC7E923" w14:textId="77777777" w:rsidR="00806C31" w:rsidRDefault="00806C31" w:rsidP="00F7363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174D94D" w14:textId="77777777" w:rsidR="00377B01" w:rsidRDefault="00377B01" w:rsidP="00F7363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72672E0C" w14:textId="5CE467F4" w:rsidR="00806C31" w:rsidRDefault="00806C31" w:rsidP="00F7363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  <w:r w:rsidRPr="00806C31">
              <w:rPr>
                <w:rFonts w:ascii="Arial" w:hAnsi="Arial" w:cs="Arial"/>
                <w:iCs/>
                <w:sz w:val="22"/>
                <w:szCs w:val="22"/>
                <w:u w:val="single"/>
              </w:rPr>
              <w:t>Pukkverksdrift</w:t>
            </w:r>
            <w:r>
              <w:rPr>
                <w:rFonts w:ascii="Arial" w:hAnsi="Arial" w:cs="Arial"/>
                <w:iCs/>
                <w:sz w:val="22"/>
                <w:szCs w:val="22"/>
              </w:rPr>
              <w:br/>
              <w:t>Tas til orientering</w:t>
            </w:r>
            <w:r w:rsidR="00F73639" w:rsidRPr="00F73639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42CCEDDD" w14:textId="77777777" w:rsidR="00377B01" w:rsidRDefault="00377B01" w:rsidP="00F7363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5023D11" w14:textId="760E4562" w:rsidR="00806C31" w:rsidRDefault="00806C31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  <w:r w:rsidRPr="001F6C8B">
              <w:rPr>
                <w:rFonts w:ascii="Arial" w:hAnsi="Arial" w:cs="Arial"/>
                <w:sz w:val="22"/>
                <w:szCs w:val="22"/>
                <w:u w:val="single"/>
              </w:rPr>
              <w:t>Mottak og deponering av gravemasser</w:t>
            </w:r>
            <w:r w:rsidR="00377B01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Tas til orientering. </w:t>
            </w:r>
          </w:p>
          <w:p w14:paraId="656D6317" w14:textId="77777777" w:rsidR="00806C31" w:rsidRDefault="00806C31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Siden forurensningsloven også </w:t>
            </w:r>
            <w:r w:rsidR="00662EE9">
              <w:rPr>
                <w:rFonts w:ascii="Arial" w:hAnsi="Arial" w:cs="Arial"/>
                <w:iCs/>
                <w:sz w:val="22"/>
                <w:szCs w:val="22"/>
              </w:rPr>
              <w:t>gjelde</w:t>
            </w:r>
            <w:r w:rsidR="008A76B5">
              <w:rPr>
                <w:rFonts w:ascii="Arial" w:hAnsi="Arial" w:cs="Arial"/>
                <w:iCs/>
                <w:sz w:val="22"/>
                <w:szCs w:val="22"/>
              </w:rPr>
              <w:t>r</w:t>
            </w:r>
            <w:r w:rsidR="00662EE9">
              <w:rPr>
                <w:rFonts w:ascii="Arial" w:hAnsi="Arial" w:cs="Arial"/>
                <w:iCs/>
                <w:sz w:val="22"/>
                <w:szCs w:val="22"/>
              </w:rPr>
              <w:t xml:space="preserve"> for </w:t>
            </w:r>
            <w:r w:rsidR="008A76B5">
              <w:rPr>
                <w:rFonts w:ascii="Arial" w:hAnsi="Arial" w:cs="Arial"/>
                <w:iCs/>
                <w:sz w:val="22"/>
                <w:szCs w:val="22"/>
              </w:rPr>
              <w:t xml:space="preserve">den begrensede deponeringen som planen åpner for, er </w:t>
            </w:r>
            <w:r w:rsidR="00377B01">
              <w:rPr>
                <w:rFonts w:ascii="Arial" w:hAnsi="Arial" w:cs="Arial"/>
                <w:iCs/>
                <w:sz w:val="22"/>
                <w:szCs w:val="22"/>
              </w:rPr>
              <w:t>h</w:t>
            </w:r>
            <w:r w:rsidR="00377B01" w:rsidRPr="00377B01">
              <w:rPr>
                <w:rFonts w:ascii="Arial" w:hAnsi="Arial" w:cs="Arial"/>
                <w:iCs/>
                <w:sz w:val="22"/>
                <w:szCs w:val="22"/>
              </w:rPr>
              <w:t xml:space="preserve">envisningen til forurensningsforskriften </w:t>
            </w:r>
            <w:r w:rsidR="00377B01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="00377B01" w:rsidRPr="00377B01">
              <w:rPr>
                <w:rFonts w:ascii="Arial" w:hAnsi="Arial" w:cs="Arial"/>
                <w:iCs/>
                <w:sz w:val="22"/>
                <w:szCs w:val="22"/>
              </w:rPr>
              <w:t>og pbl</w:t>
            </w:r>
            <w:r w:rsidR="00377B01">
              <w:rPr>
                <w:rFonts w:ascii="Arial" w:hAnsi="Arial" w:cs="Arial"/>
                <w:iCs/>
                <w:sz w:val="22"/>
                <w:szCs w:val="22"/>
              </w:rPr>
              <w:t>)</w:t>
            </w:r>
            <w:r w:rsidR="00377B01" w:rsidRPr="00377B01">
              <w:rPr>
                <w:rFonts w:ascii="Arial" w:hAnsi="Arial" w:cs="Arial"/>
                <w:iCs/>
                <w:sz w:val="22"/>
                <w:szCs w:val="22"/>
              </w:rPr>
              <w:t xml:space="preserve"> i 4.1 d er tatt ut</w:t>
            </w:r>
            <w:r w:rsidR="00377B01">
              <w:rPr>
                <w:rFonts w:ascii="Arial" w:hAnsi="Arial" w:cs="Arial"/>
                <w:iCs/>
                <w:sz w:val="22"/>
                <w:szCs w:val="22"/>
              </w:rPr>
              <w:t xml:space="preserve">, for å ikke skape forvirring. </w:t>
            </w:r>
          </w:p>
          <w:p w14:paraId="14789026" w14:textId="50059C88" w:rsidR="009358F3" w:rsidRPr="00547FAA" w:rsidRDefault="009358F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Innspillet vurderes å være fulgt opp. </w:t>
            </w:r>
          </w:p>
        </w:tc>
      </w:tr>
      <w:tr w:rsidR="00F73639" w:rsidRPr="00ED48F1" w14:paraId="20B0C754" w14:textId="77777777" w:rsidTr="007A2F6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0963" w14:textId="0A91E071" w:rsidR="00C940A6" w:rsidRPr="00C940A6" w:rsidRDefault="00DE1128" w:rsidP="00C940A6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2. </w:t>
            </w:r>
            <w:r w:rsidR="00C940A6" w:rsidRPr="00C940A6">
              <w:rPr>
                <w:rFonts w:ascii="Arial" w:hAnsi="Arial" w:cs="Arial"/>
                <w:b/>
                <w:bCs/>
                <w:sz w:val="22"/>
                <w:szCs w:val="22"/>
              </w:rPr>
              <w:t>NVE</w:t>
            </w:r>
          </w:p>
          <w:p w14:paraId="0A899F6D" w14:textId="3C91E731" w:rsidR="0023220C" w:rsidRPr="0023220C" w:rsidRDefault="0023220C" w:rsidP="0023220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220C">
              <w:rPr>
                <w:rFonts w:ascii="Arial" w:hAnsi="Arial" w:cs="Arial"/>
                <w:sz w:val="22"/>
                <w:szCs w:val="22"/>
                <w:u w:val="single"/>
              </w:rPr>
              <w:t>Områdestabilitet</w:t>
            </w:r>
            <w:r w:rsidRPr="0023220C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23220C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Pr="0023220C">
              <w:rPr>
                <w:rFonts w:ascii="Arial" w:hAnsi="Arial" w:cs="Arial"/>
                <w:sz w:val="22"/>
                <w:szCs w:val="22"/>
              </w:rPr>
              <w:t>Arealformålene bebyggelse og anlegg, steinbrudd og massetak (SM1 og SM2)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220C">
              <w:rPr>
                <w:rFonts w:ascii="Arial" w:hAnsi="Arial" w:cs="Arial"/>
                <w:sz w:val="22"/>
                <w:szCs w:val="22"/>
              </w:rPr>
              <w:t>ligger innenfor aktsomhetsområde for kvikkleireskred, se NVEs temakart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220C">
              <w:rPr>
                <w:rFonts w:ascii="Arial" w:hAnsi="Arial" w:cs="Arial"/>
                <w:sz w:val="22"/>
                <w:szCs w:val="22"/>
              </w:rPr>
              <w:t>Kvikkleireskredfare. Arealformålene bebyggelse og anlegg, steinbrudd 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220C">
              <w:rPr>
                <w:rFonts w:ascii="Arial" w:hAnsi="Arial" w:cs="Arial"/>
                <w:sz w:val="22"/>
                <w:szCs w:val="22"/>
              </w:rPr>
              <w:t>massetak (SM1 og SM2) ligger innenfor aktsomhetsområde for</w:t>
            </w:r>
            <w:r w:rsidR="00852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220C">
              <w:rPr>
                <w:rFonts w:ascii="Arial" w:hAnsi="Arial" w:cs="Arial"/>
                <w:sz w:val="22"/>
                <w:szCs w:val="22"/>
              </w:rPr>
              <w:t>kvikkleireskred, se NVEs temakart Kvikkleireskredfare.</w:t>
            </w:r>
          </w:p>
          <w:p w14:paraId="07F0C430" w14:textId="63E0B3F5" w:rsidR="0023220C" w:rsidRPr="0023220C" w:rsidRDefault="0023220C" w:rsidP="0023220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3220C">
              <w:rPr>
                <w:rFonts w:ascii="Arial" w:hAnsi="Arial" w:cs="Arial"/>
                <w:sz w:val="22"/>
                <w:szCs w:val="22"/>
                <w:u w:val="single"/>
              </w:rPr>
              <w:t>Verna vassdrag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Pr="0023220C">
              <w:rPr>
                <w:rFonts w:ascii="Arial" w:hAnsi="Arial" w:cs="Arial"/>
                <w:sz w:val="22"/>
                <w:szCs w:val="22"/>
              </w:rPr>
              <w:t>Det går bekk nord for og sør for planområdet, som begge ligger innenfor det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220C">
              <w:rPr>
                <w:rFonts w:ascii="Arial" w:hAnsi="Arial" w:cs="Arial"/>
                <w:sz w:val="22"/>
                <w:szCs w:val="22"/>
              </w:rPr>
              <w:t>verna vassdraget 012/16 Sogna. Vi ser av plankartet at både tidligere 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220C">
              <w:rPr>
                <w:rFonts w:ascii="Arial" w:hAnsi="Arial" w:cs="Arial"/>
                <w:sz w:val="22"/>
                <w:szCs w:val="22"/>
              </w:rPr>
              <w:t>planlagt uttaksområde berører bekkenes 100 meter bredde, uten 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220C">
              <w:rPr>
                <w:rFonts w:ascii="Arial" w:hAnsi="Arial" w:cs="Arial"/>
                <w:sz w:val="22"/>
                <w:szCs w:val="22"/>
              </w:rPr>
              <w:t>konsekvenser for verneformålet er spesielt omtalt i planbeskrivelsen. For 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220C">
              <w:rPr>
                <w:rFonts w:ascii="Arial" w:hAnsi="Arial" w:cs="Arial"/>
                <w:sz w:val="22"/>
                <w:szCs w:val="22"/>
              </w:rPr>
              <w:t>bekkene skal være upåvirket, er det en viktig forutsetning at bekkenes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220C">
              <w:rPr>
                <w:rFonts w:ascii="Arial" w:hAnsi="Arial" w:cs="Arial"/>
                <w:sz w:val="22"/>
                <w:szCs w:val="22"/>
              </w:rPr>
              <w:t>flomsoner ivaretas og er uberørt. Utsnitt fra plankartet viser at fjelluttak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220C">
              <w:rPr>
                <w:rFonts w:ascii="Arial" w:hAnsi="Arial" w:cs="Arial"/>
                <w:sz w:val="22"/>
                <w:szCs w:val="22"/>
              </w:rPr>
              <w:t>planlegges 6-7 meter innenfor flomsonen i nord.</w:t>
            </w:r>
          </w:p>
          <w:p w14:paraId="619D56FF" w14:textId="77777777" w:rsidR="001019E3" w:rsidRDefault="001019E3" w:rsidP="004465C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6F96278" w14:textId="37CB28EB" w:rsidR="00DE1128" w:rsidRPr="00ED48F1" w:rsidRDefault="00DE1128" w:rsidP="004465C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1E3E" w14:textId="77777777" w:rsidR="00852166" w:rsidRDefault="00852166" w:rsidP="00852166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A66F89D" w14:textId="50CC0F28" w:rsidR="00852166" w:rsidRPr="00852166" w:rsidRDefault="00852166" w:rsidP="00852166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52166">
              <w:rPr>
                <w:rFonts w:ascii="Arial" w:hAnsi="Arial" w:cs="Arial"/>
                <w:sz w:val="22"/>
                <w:szCs w:val="22"/>
                <w:u w:val="single"/>
              </w:rPr>
              <w:t>Områdestabilitet</w:t>
            </w:r>
          </w:p>
          <w:p w14:paraId="69CC7187" w14:textId="2171EB92" w:rsidR="00852166" w:rsidRPr="0023220C" w:rsidRDefault="00852166" w:rsidP="00852166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220C">
              <w:rPr>
                <w:rFonts w:ascii="Arial" w:hAnsi="Arial" w:cs="Arial"/>
                <w:sz w:val="22"/>
                <w:szCs w:val="22"/>
              </w:rPr>
              <w:t>Tas til orientering og viser til redegjørelse i planforslaget som NVE løfter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220C">
              <w:rPr>
                <w:rFonts w:ascii="Arial" w:hAnsi="Arial" w:cs="Arial"/>
                <w:sz w:val="22"/>
                <w:szCs w:val="22"/>
              </w:rPr>
              <w:t>fram i sin uttalelse.</w:t>
            </w:r>
          </w:p>
          <w:p w14:paraId="0414FB49" w14:textId="77777777" w:rsidR="00DD0412" w:rsidRDefault="00DD0412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A05C65A" w14:textId="77777777" w:rsidR="00852166" w:rsidRDefault="00852166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BD90328" w14:textId="77777777" w:rsidR="00852166" w:rsidRDefault="00852166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814EC74" w14:textId="77777777" w:rsidR="00852166" w:rsidRDefault="00852166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DC4CA72" w14:textId="77777777" w:rsidR="00852166" w:rsidRDefault="00852166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84372A8" w14:textId="6EFA26C7" w:rsidR="00852166" w:rsidRPr="004E07B5" w:rsidRDefault="00852166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52166">
              <w:rPr>
                <w:rFonts w:ascii="Arial" w:hAnsi="Arial" w:cs="Arial"/>
                <w:sz w:val="22"/>
                <w:szCs w:val="22"/>
                <w:u w:val="single"/>
              </w:rPr>
              <w:t>Verna vassdrag</w:t>
            </w:r>
            <w:r w:rsidR="004E07B5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="004E07B5" w:rsidRPr="004E07B5">
              <w:rPr>
                <w:rFonts w:ascii="Arial" w:hAnsi="Arial" w:cs="Arial"/>
                <w:sz w:val="22"/>
                <w:szCs w:val="22"/>
              </w:rPr>
              <w:t>Flomsonen langs bekken er beregnet teoretisk på dette nivå og</w:t>
            </w:r>
            <w:r w:rsidR="004E07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7B5" w:rsidRPr="004E07B5">
              <w:rPr>
                <w:rFonts w:ascii="Arial" w:hAnsi="Arial" w:cs="Arial"/>
                <w:sz w:val="22"/>
                <w:szCs w:val="22"/>
              </w:rPr>
              <w:t>høydeforskjellen ned til bekken er minst 6 m på det pågjeldende areal.</w:t>
            </w:r>
            <w:r w:rsidR="004E07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7B5" w:rsidRPr="004E07B5">
              <w:rPr>
                <w:rFonts w:ascii="Arial" w:hAnsi="Arial" w:cs="Arial"/>
                <w:sz w:val="22"/>
                <w:szCs w:val="22"/>
              </w:rPr>
              <w:t>Det betyr likevel lite for uttaket å justere formålsgrensen disse 6-7 m så</w:t>
            </w:r>
            <w:r w:rsidR="004E07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7B5" w:rsidRPr="004E07B5">
              <w:rPr>
                <w:rFonts w:ascii="Arial" w:hAnsi="Arial" w:cs="Arial"/>
                <w:sz w:val="22"/>
                <w:szCs w:val="22"/>
              </w:rPr>
              <w:t>den teoretiske flomsonen ikke berøres. Foreslår at denne justeringen</w:t>
            </w:r>
            <w:r w:rsidR="004E07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7B5" w:rsidRPr="004E07B5">
              <w:rPr>
                <w:rFonts w:ascii="Arial" w:hAnsi="Arial" w:cs="Arial"/>
                <w:sz w:val="22"/>
                <w:szCs w:val="22"/>
              </w:rPr>
              <w:t>gjøres på det endelige plankartet. Arronderingsmessig sprenges det</w:t>
            </w:r>
            <w:r w:rsidR="004E07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7B5" w:rsidRPr="004E07B5">
              <w:rPr>
                <w:rFonts w:ascii="Arial" w:hAnsi="Arial" w:cs="Arial"/>
                <w:sz w:val="22"/>
                <w:szCs w:val="22"/>
              </w:rPr>
              <w:t>helst i noenlunde rette linjer og dermed har justeringen ikke vesentlig</w:t>
            </w:r>
            <w:r w:rsidR="004E07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7B5" w:rsidRPr="004E07B5">
              <w:rPr>
                <w:rFonts w:ascii="Arial" w:hAnsi="Arial" w:cs="Arial"/>
                <w:sz w:val="22"/>
                <w:szCs w:val="22"/>
              </w:rPr>
              <w:t xml:space="preserve">negativ </w:t>
            </w:r>
            <w:r w:rsidR="004E07B5" w:rsidRPr="004E07B5">
              <w:rPr>
                <w:rFonts w:ascii="Arial" w:hAnsi="Arial" w:cs="Arial"/>
                <w:sz w:val="22"/>
                <w:szCs w:val="22"/>
              </w:rPr>
              <w:lastRenderedPageBreak/>
              <w:t>betydning for mengden som kan tas ut.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DFC" w14:textId="77777777" w:rsidR="00922884" w:rsidRDefault="00922884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1D774AA" w14:textId="77777777" w:rsidR="00A15B1D" w:rsidRPr="00852166" w:rsidRDefault="00A15B1D" w:rsidP="00A15B1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52166">
              <w:rPr>
                <w:rFonts w:ascii="Arial" w:hAnsi="Arial" w:cs="Arial"/>
                <w:sz w:val="22"/>
                <w:szCs w:val="22"/>
                <w:u w:val="single"/>
              </w:rPr>
              <w:t>Områdestabilitet</w:t>
            </w:r>
          </w:p>
          <w:p w14:paraId="3CD06A8B" w14:textId="77777777" w:rsidR="00922884" w:rsidRDefault="00A15B1D" w:rsidP="00A15B1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220C">
              <w:rPr>
                <w:rFonts w:ascii="Arial" w:hAnsi="Arial" w:cs="Arial"/>
                <w:sz w:val="22"/>
                <w:szCs w:val="22"/>
              </w:rPr>
              <w:t>Tas til orientering</w:t>
            </w:r>
          </w:p>
          <w:p w14:paraId="286B77CC" w14:textId="77777777" w:rsidR="00F010DF" w:rsidRDefault="00F010DF" w:rsidP="00A15B1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6319FAD" w14:textId="77777777" w:rsidR="00F010DF" w:rsidRDefault="00F010DF" w:rsidP="00A15B1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A2DB449" w14:textId="77777777" w:rsidR="00F010DF" w:rsidRDefault="00F010DF" w:rsidP="00A15B1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D120FB1" w14:textId="77777777" w:rsidR="00F010DF" w:rsidRDefault="00F010DF" w:rsidP="00A15B1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4046143" w14:textId="77777777" w:rsidR="00F010DF" w:rsidRDefault="00F010DF" w:rsidP="00A15B1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4E5F176" w14:textId="77777777" w:rsidR="00F010DF" w:rsidRDefault="00F010DF" w:rsidP="00A15B1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551702D" w14:textId="77777777" w:rsidR="00F010DF" w:rsidRDefault="00F010DF" w:rsidP="00A15B1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57A7D51" w14:textId="254CFDA4" w:rsidR="009358F3" w:rsidRPr="009358F3" w:rsidRDefault="00F94836" w:rsidP="009358F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94836">
              <w:rPr>
                <w:rFonts w:ascii="Arial" w:hAnsi="Arial" w:cs="Arial"/>
                <w:sz w:val="22"/>
                <w:szCs w:val="22"/>
                <w:u w:val="single"/>
              </w:rPr>
              <w:t>Verna vassdrag</w:t>
            </w:r>
            <w:r w:rsidRPr="00F94836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="009358F3">
              <w:rPr>
                <w:rFonts w:ascii="Arial" w:hAnsi="Arial" w:cs="Arial"/>
                <w:sz w:val="22"/>
                <w:szCs w:val="22"/>
              </w:rPr>
              <w:t>U</w:t>
            </w:r>
            <w:r w:rsidR="009358F3" w:rsidRPr="009358F3">
              <w:rPr>
                <w:rFonts w:ascii="Arial" w:hAnsi="Arial" w:cs="Arial"/>
                <w:sz w:val="22"/>
                <w:szCs w:val="22"/>
              </w:rPr>
              <w:t xml:space="preserve">ttaksområdet </w:t>
            </w:r>
            <w:r w:rsidR="009358F3">
              <w:rPr>
                <w:rFonts w:ascii="Arial" w:hAnsi="Arial" w:cs="Arial"/>
                <w:sz w:val="22"/>
                <w:szCs w:val="22"/>
              </w:rPr>
              <w:t xml:space="preserve">er </w:t>
            </w:r>
            <w:r w:rsidR="009358F3" w:rsidRPr="009358F3">
              <w:rPr>
                <w:rFonts w:ascii="Arial" w:hAnsi="Arial" w:cs="Arial"/>
                <w:sz w:val="22"/>
                <w:szCs w:val="22"/>
              </w:rPr>
              <w:t>juster</w:t>
            </w:r>
            <w:r w:rsidR="009358F3">
              <w:rPr>
                <w:rFonts w:ascii="Arial" w:hAnsi="Arial" w:cs="Arial"/>
                <w:sz w:val="22"/>
                <w:szCs w:val="22"/>
              </w:rPr>
              <w:t>t</w:t>
            </w:r>
            <w:r w:rsidR="009358F3" w:rsidRPr="009358F3">
              <w:rPr>
                <w:rFonts w:ascii="Arial" w:hAnsi="Arial" w:cs="Arial"/>
                <w:sz w:val="22"/>
                <w:szCs w:val="22"/>
              </w:rPr>
              <w:t xml:space="preserve"> slik at det ikke kommer i berøring med aktsomhetsområdet for vassdraget i nord</w:t>
            </w:r>
            <w:r w:rsidR="009358F3">
              <w:rPr>
                <w:rFonts w:ascii="Arial" w:hAnsi="Arial" w:cs="Arial"/>
                <w:sz w:val="22"/>
                <w:szCs w:val="22"/>
              </w:rPr>
              <w:t xml:space="preserve">. Innspillet vurderes da å være tilstrekkelig fulgt opp. </w:t>
            </w:r>
          </w:p>
          <w:p w14:paraId="0E926170" w14:textId="0726770D" w:rsidR="00F010DF" w:rsidRPr="00F94836" w:rsidRDefault="00F010DF" w:rsidP="00A15B1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73639" w:rsidRPr="00ED48F1" w14:paraId="7A1A60B9" w14:textId="77777777" w:rsidTr="007A2F6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05B1" w14:textId="55A17E55" w:rsidR="007D7625" w:rsidRPr="007D7625" w:rsidRDefault="007D7625" w:rsidP="007D7625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Pr="007D7625">
              <w:rPr>
                <w:rFonts w:ascii="Arial" w:hAnsi="Arial" w:cs="Arial"/>
                <w:b/>
                <w:sz w:val="22"/>
                <w:szCs w:val="22"/>
              </w:rPr>
              <w:t>Buskerud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D7625">
              <w:rPr>
                <w:rFonts w:ascii="Arial" w:hAnsi="Arial" w:cs="Arial"/>
                <w:b/>
                <w:sz w:val="22"/>
                <w:szCs w:val="22"/>
              </w:rPr>
              <w:t>fylkeskommune</w:t>
            </w:r>
          </w:p>
          <w:p w14:paraId="7A4C7BBB" w14:textId="0911857B" w:rsidR="006B5353" w:rsidRPr="006B5353" w:rsidRDefault="006B5353" w:rsidP="006B535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6B5353">
              <w:rPr>
                <w:rFonts w:ascii="Arial" w:hAnsi="Arial" w:cs="Arial"/>
                <w:bCs/>
                <w:sz w:val="22"/>
                <w:szCs w:val="22"/>
                <w:u w:val="single"/>
              </w:rPr>
              <w:t>Hensyn til kulturminner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br/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Det er gjennomført arkeologisk registrering og gjort funn av en kullgrop som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er i konflikt med reguleringsplanen for utvidelsen av Djupedal masseuttak.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Fylkeskommunen vurderer likevel at reguleringsplanen for utvidelsen av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Djupedal masseuttak kan godkjennes, men under forutsetning av at kullgropa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med sikringssone (5 m) tegnes inn i plankartet som bestemmelsesområde #1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og at følgende tekst blir tatt inn i reguleringsplanens fellesbestemmelser:</w:t>
            </w:r>
            <w:r w:rsidR="00AA2C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«Kullgropa ID 330993, bestemmelsesområde #1, kan fjernes uten vilkår om</w:t>
            </w:r>
            <w:r w:rsidR="00AA2C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ytterligere arkeologisk undersøkelse.»</w:t>
            </w:r>
          </w:p>
          <w:p w14:paraId="24AC3427" w14:textId="7EF062DB" w:rsidR="006B5353" w:rsidRPr="006B5353" w:rsidRDefault="006B5353" w:rsidP="006B535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6B5353">
              <w:rPr>
                <w:rFonts w:ascii="Arial" w:hAnsi="Arial" w:cs="Arial"/>
                <w:bCs/>
                <w:sz w:val="22"/>
                <w:szCs w:val="22"/>
                <w:u w:val="single"/>
              </w:rPr>
              <w:t>Samferdsel – teknisk innsigelse</w:t>
            </w:r>
            <w:r w:rsidR="00E949BC">
              <w:rPr>
                <w:rFonts w:ascii="Arial" w:hAnsi="Arial" w:cs="Arial"/>
                <w:bCs/>
                <w:sz w:val="22"/>
                <w:szCs w:val="22"/>
                <w:u w:val="single"/>
              </w:rPr>
              <w:br/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Planarbeidet inkluderer flytting av eksisterende adkomst inn til masseuttaket.</w:t>
            </w:r>
            <w:r w:rsidR="00AA2C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Dette ble gjort for å sikre sikten inn til masseuttaket, og fylkeskommunen</w:t>
            </w:r>
            <w:r w:rsidR="00AA2C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godkjente de tekniske tegningene i et brev datert 21.01.2025. I etterkant av</w:t>
            </w:r>
            <w:r w:rsidR="00AA2C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godkjenningen har det vist seg at plasseringen av 3 avkjørselen ikke</w:t>
            </w:r>
            <w:r w:rsidR="00AA2C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tilfredsstiller siktkravet for personbil i sørgående retning. Det må sees på en</w:t>
            </w:r>
            <w:r w:rsidR="00AA2C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ny løsning som innfrir kravene satt i vegnormalen N100. Med hjemmel i Plan</w:t>
            </w:r>
            <w:r w:rsidR="00AA2C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og bygningsloven §5-4 og i henhold til Reglement for delegering for tildeling</w:t>
            </w:r>
            <w:r w:rsidR="00AA2C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av innstillingsrett fra Buskerud fylkesting, punkt 11 Delegering etter</w:t>
            </w:r>
            <w:r w:rsidR="00AA2C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særlovgivningen, fremmer vi tekniske innsigelser til planforslaget av hensyn til</w:t>
            </w:r>
            <w:r w:rsidR="00E949B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B5353">
              <w:rPr>
                <w:rFonts w:ascii="Arial" w:hAnsi="Arial" w:cs="Arial"/>
                <w:bCs/>
                <w:sz w:val="22"/>
                <w:szCs w:val="22"/>
              </w:rPr>
              <w:t>trafikksikkerhet og feil i godkjent teknisk tegningsmaterialet.</w:t>
            </w:r>
          </w:p>
          <w:p w14:paraId="50762F32" w14:textId="39036731" w:rsidR="00E949BC" w:rsidRPr="00E949BC" w:rsidRDefault="006B5353" w:rsidP="00E949B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6B5353">
              <w:rPr>
                <w:rFonts w:ascii="Arial" w:hAnsi="Arial" w:cs="Arial"/>
                <w:bCs/>
                <w:sz w:val="22"/>
                <w:szCs w:val="22"/>
                <w:u w:val="single"/>
              </w:rPr>
              <w:t>Byggegrense</w:t>
            </w:r>
            <w:r w:rsidR="00E949BC">
              <w:rPr>
                <w:rFonts w:ascii="Arial" w:hAnsi="Arial" w:cs="Arial"/>
                <w:bCs/>
                <w:sz w:val="22"/>
                <w:szCs w:val="22"/>
                <w:u w:val="single"/>
              </w:rPr>
              <w:br/>
            </w:r>
            <w:r w:rsidR="00E949BC" w:rsidRPr="00E949BC">
              <w:rPr>
                <w:rFonts w:ascii="Arial" w:hAnsi="Arial" w:cs="Arial"/>
                <w:bCs/>
                <w:sz w:val="22"/>
                <w:szCs w:val="22"/>
              </w:rPr>
              <w:t>Det er satt en byggegrense på 50 meter til senterlinjen på fylkesveien i</w:t>
            </w:r>
            <w:r w:rsidR="00E949B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949BC" w:rsidRPr="00E949BC">
              <w:rPr>
                <w:rFonts w:ascii="Arial" w:hAnsi="Arial" w:cs="Arial"/>
                <w:bCs/>
                <w:sz w:val="22"/>
                <w:szCs w:val="22"/>
              </w:rPr>
              <w:t>arealene avsatt til vegetasjonsskjerm. Byggegrensen må være helhetlig</w:t>
            </w:r>
            <w:r w:rsidR="00E949B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949BC" w:rsidRPr="00E949BC">
              <w:rPr>
                <w:rFonts w:ascii="Arial" w:hAnsi="Arial" w:cs="Arial"/>
                <w:bCs/>
                <w:sz w:val="22"/>
                <w:szCs w:val="22"/>
              </w:rPr>
              <w:lastRenderedPageBreak/>
              <w:t>igjennom plankartet, også arealet avsatt til vegetasjonsskjerm.</w:t>
            </w:r>
          </w:p>
          <w:p w14:paraId="38DB997D" w14:textId="2A11A4AB" w:rsidR="00DD0412" w:rsidRPr="00E949BC" w:rsidRDefault="00E949BC" w:rsidP="004465C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E949BC">
              <w:rPr>
                <w:rFonts w:ascii="Arial" w:hAnsi="Arial" w:cs="Arial"/>
                <w:bCs/>
                <w:sz w:val="22"/>
                <w:szCs w:val="22"/>
                <w:u w:val="single"/>
              </w:rPr>
              <w:t>Andre merknader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E949BC">
              <w:rPr>
                <w:rFonts w:ascii="Arial" w:hAnsi="Arial" w:cs="Arial"/>
                <w:bCs/>
                <w:sz w:val="22"/>
                <w:szCs w:val="22"/>
              </w:rPr>
              <w:t>Videre bør det vurderes om at de ulike adkomstene inn til masseuttaket kan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949BC">
              <w:rPr>
                <w:rFonts w:ascii="Arial" w:hAnsi="Arial" w:cs="Arial"/>
                <w:bCs/>
                <w:sz w:val="22"/>
                <w:szCs w:val="22"/>
              </w:rPr>
              <w:t>samordnes. Adkomsten helt sør langs fylkesveien, inn til Strømsoddveien 170,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949BC">
              <w:rPr>
                <w:rFonts w:ascii="Arial" w:hAnsi="Arial" w:cs="Arial"/>
                <w:bCs/>
                <w:sz w:val="22"/>
                <w:szCs w:val="22"/>
              </w:rPr>
              <w:t>fremstår som at den skal saneres i henhold til plankartet. Dette må vises med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949BC">
              <w:rPr>
                <w:rFonts w:ascii="Arial" w:hAnsi="Arial" w:cs="Arial"/>
                <w:bCs/>
                <w:sz w:val="22"/>
                <w:szCs w:val="22"/>
              </w:rPr>
              <w:t>symbol.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5F66" w14:textId="77777777" w:rsidR="00DD0412" w:rsidRDefault="00DD0412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F769A12" w14:textId="3B07918F" w:rsidR="006B5353" w:rsidRDefault="006B535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6B5353">
              <w:rPr>
                <w:rFonts w:ascii="Arial" w:hAnsi="Arial" w:cs="Arial"/>
                <w:bCs/>
                <w:sz w:val="22"/>
                <w:szCs w:val="22"/>
                <w:u w:val="single"/>
              </w:rPr>
              <w:t>Hensyn til kulturminner</w:t>
            </w:r>
            <w:r w:rsidR="00AA2CAF">
              <w:rPr>
                <w:rFonts w:ascii="Arial" w:hAnsi="Arial" w:cs="Arial"/>
                <w:bCs/>
                <w:sz w:val="22"/>
                <w:szCs w:val="22"/>
                <w:u w:val="single"/>
              </w:rPr>
              <w:br/>
            </w:r>
            <w:r w:rsidR="007E3FAA" w:rsidRPr="007E3FAA">
              <w:rPr>
                <w:rFonts w:ascii="Arial" w:hAnsi="Arial" w:cs="Arial"/>
                <w:bCs/>
                <w:sz w:val="22"/>
                <w:szCs w:val="22"/>
              </w:rPr>
              <w:t>Sikringssone inntegnes på plankartet og den foreslåtte teksten fra</w:t>
            </w:r>
            <w:r w:rsidR="007E3FA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E3FAA" w:rsidRPr="007E3FAA">
              <w:rPr>
                <w:rFonts w:ascii="Arial" w:hAnsi="Arial" w:cs="Arial"/>
                <w:bCs/>
                <w:sz w:val="22"/>
                <w:szCs w:val="22"/>
              </w:rPr>
              <w:t>fylkeskommunen tas inn i bestemmelsene.</w:t>
            </w:r>
          </w:p>
          <w:p w14:paraId="08B7D42A" w14:textId="77777777" w:rsidR="00AA2CAF" w:rsidRDefault="00AA2CAF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3B27DF" w14:textId="77777777" w:rsidR="00AA2CAF" w:rsidRDefault="00AA2CAF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702220" w14:textId="77777777" w:rsidR="00350F8D" w:rsidRDefault="00350F8D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9FF917" w14:textId="77777777" w:rsidR="00350F8D" w:rsidRDefault="00350F8D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D9EB4A" w14:textId="77777777" w:rsidR="00350F8D" w:rsidRDefault="00350F8D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98D403" w14:textId="77777777" w:rsidR="00350F8D" w:rsidRDefault="00350F8D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1DAB2B" w14:textId="77777777" w:rsidR="00350F8D" w:rsidRDefault="00350F8D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398FA8" w14:textId="77777777" w:rsidR="00350F8D" w:rsidRDefault="00350F8D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8359AF" w14:textId="77777777" w:rsidR="00350F8D" w:rsidRDefault="00350F8D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B0FCE7" w14:textId="77777777" w:rsidR="00350F8D" w:rsidRPr="00AA2CAF" w:rsidRDefault="00350F8D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ECDA81" w14:textId="117507E2" w:rsidR="00350F8D" w:rsidRPr="00350F8D" w:rsidRDefault="00AA2CAF" w:rsidP="00350F8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6B5353">
              <w:rPr>
                <w:rFonts w:ascii="Arial" w:hAnsi="Arial" w:cs="Arial"/>
                <w:bCs/>
                <w:sz w:val="22"/>
                <w:szCs w:val="22"/>
                <w:u w:val="single"/>
              </w:rPr>
              <w:t>Samferdsel – teknisk innsigelse</w:t>
            </w:r>
            <w:r w:rsidR="00350F8D" w:rsidRPr="00350F8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350F8D" w:rsidRPr="00350F8D">
              <w:rPr>
                <w:rFonts w:ascii="Arial" w:hAnsi="Arial" w:cs="Arial"/>
                <w:bCs/>
                <w:sz w:val="22"/>
                <w:szCs w:val="22"/>
              </w:rPr>
              <w:t>Trafikkingeniør har jobbet videre med avkjørselen og det foreligger nå</w:t>
            </w:r>
            <w:r w:rsidR="00350F8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50F8D" w:rsidRPr="00350F8D">
              <w:rPr>
                <w:rFonts w:ascii="Arial" w:hAnsi="Arial" w:cs="Arial"/>
                <w:bCs/>
                <w:sz w:val="22"/>
                <w:szCs w:val="22"/>
              </w:rPr>
              <w:t>reviderte tegninger som tilfredsstiller kravene i vegnormalen. Endringen</w:t>
            </w:r>
            <w:r w:rsidR="00350F8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50F8D" w:rsidRPr="00350F8D">
              <w:rPr>
                <w:rFonts w:ascii="Arial" w:hAnsi="Arial" w:cs="Arial"/>
                <w:bCs/>
                <w:sz w:val="22"/>
                <w:szCs w:val="22"/>
              </w:rPr>
              <w:t>medfører at avkjørselen må legges om. Det foreslås at planmyndigheten</w:t>
            </w:r>
            <w:r w:rsidR="00350F8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50F8D" w:rsidRPr="00350F8D">
              <w:rPr>
                <w:rFonts w:ascii="Arial" w:hAnsi="Arial" w:cs="Arial"/>
                <w:bCs/>
                <w:sz w:val="22"/>
                <w:szCs w:val="22"/>
              </w:rPr>
              <w:t>avklarer innsigelsen ut fra vedlagte materiale og at den reviderte</w:t>
            </w:r>
            <w:r w:rsidR="00350F8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50F8D" w:rsidRPr="00350F8D">
              <w:rPr>
                <w:rFonts w:ascii="Arial" w:hAnsi="Arial" w:cs="Arial"/>
                <w:bCs/>
                <w:sz w:val="22"/>
                <w:szCs w:val="22"/>
              </w:rPr>
              <w:t>avkjørselen legges inn i det endelige plankart.</w:t>
            </w:r>
          </w:p>
          <w:p w14:paraId="6367C383" w14:textId="4D876A11" w:rsidR="00AA2CAF" w:rsidRDefault="00AA2CAF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14:paraId="6D530F5A" w14:textId="77777777" w:rsidR="007E3FAA" w:rsidRDefault="007E3FAA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C26D4CD" w14:textId="77777777" w:rsidR="007E3FAA" w:rsidRDefault="007E3FAA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24030BF" w14:textId="77777777" w:rsidR="007E3FAA" w:rsidRDefault="007E3FAA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506F4E2" w14:textId="77777777" w:rsidR="007E3FAA" w:rsidRDefault="007E3FAA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F7D6A13" w14:textId="11FFD024" w:rsidR="00A401CD" w:rsidRPr="00A401CD" w:rsidRDefault="00A401CD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Byggegrense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Pr="00A401CD">
              <w:rPr>
                <w:rFonts w:ascii="Arial" w:hAnsi="Arial" w:cs="Arial"/>
                <w:sz w:val="22"/>
                <w:szCs w:val="22"/>
              </w:rPr>
              <w:t>Byggegrensen er vist sammenhengene gjennom hele</w:t>
            </w:r>
            <w:r w:rsidR="002471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01CD">
              <w:rPr>
                <w:rFonts w:ascii="Arial" w:hAnsi="Arial" w:cs="Arial"/>
                <w:sz w:val="22"/>
                <w:szCs w:val="22"/>
              </w:rPr>
              <w:t>planområdet så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01CD">
              <w:rPr>
                <w:rFonts w:ascii="Arial" w:hAnsi="Arial" w:cs="Arial"/>
                <w:sz w:val="22"/>
                <w:szCs w:val="22"/>
              </w:rPr>
              <w:t>forstår ikke hva som menes her.</w:t>
            </w:r>
          </w:p>
          <w:p w14:paraId="5B9C1E2F" w14:textId="1522B9C4" w:rsidR="007E3FAA" w:rsidRPr="00ED48F1" w:rsidRDefault="00A401CD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01CD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Andre merknader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01CD">
              <w:rPr>
                <w:rFonts w:ascii="Arial" w:hAnsi="Arial" w:cs="Arial"/>
                <w:sz w:val="22"/>
                <w:szCs w:val="22"/>
              </w:rPr>
              <w:t>Symbolet for fysisk stenging av vei er en kartfeil og må tas ut av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01CD">
              <w:rPr>
                <w:rFonts w:ascii="Arial" w:hAnsi="Arial" w:cs="Arial"/>
                <w:sz w:val="22"/>
                <w:szCs w:val="22"/>
              </w:rPr>
              <w:t>plankartet før endelig vedtak. Denne avkjørselen er eneste avkjørsel til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01CD">
              <w:rPr>
                <w:rFonts w:ascii="Arial" w:hAnsi="Arial" w:cs="Arial"/>
                <w:sz w:val="22"/>
                <w:szCs w:val="22"/>
              </w:rPr>
              <w:t>sandtaket og må bero på en misforståelse.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5123" w14:textId="77777777" w:rsidR="00DD0412" w:rsidRDefault="00DD0412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AE0B828" w14:textId="745DBFEF" w:rsidR="00714F87" w:rsidRDefault="00714F87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5353">
              <w:rPr>
                <w:rFonts w:ascii="Arial" w:hAnsi="Arial" w:cs="Arial"/>
                <w:bCs/>
                <w:sz w:val="22"/>
                <w:szCs w:val="22"/>
                <w:u w:val="single"/>
              </w:rPr>
              <w:t>Hensyn til kulturminner</w:t>
            </w:r>
          </w:p>
          <w:p w14:paraId="57AA460A" w14:textId="77777777" w:rsidR="00714F87" w:rsidRDefault="00714F87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Plandokumentene er oppdatert slik forslagsstiller beskriver. Det er også lagt inn informasjon om de arkeologiske registreringene i planbeskrivelsen. </w:t>
            </w:r>
          </w:p>
          <w:p w14:paraId="59624B28" w14:textId="77777777" w:rsidR="00714F87" w:rsidRDefault="00714F87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2E859A9" w14:textId="77777777" w:rsidR="00714F87" w:rsidRDefault="00714F87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21480DD" w14:textId="77777777" w:rsidR="00714F87" w:rsidRDefault="00714F87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105229E" w14:textId="77777777" w:rsidR="00714F87" w:rsidRDefault="00714F87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8D72F36" w14:textId="77777777" w:rsidR="00714F87" w:rsidRDefault="00714F87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D0A0F79" w14:textId="77777777" w:rsidR="00714F87" w:rsidRDefault="00714F87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44397DB" w14:textId="77777777" w:rsidR="00714F87" w:rsidRDefault="00714F87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B831866" w14:textId="77777777" w:rsidR="00714F87" w:rsidRDefault="00714F87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92DF67C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2E8F55B" w14:textId="7FFB5072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B5353">
              <w:rPr>
                <w:rFonts w:ascii="Arial" w:hAnsi="Arial" w:cs="Arial"/>
                <w:bCs/>
                <w:sz w:val="22"/>
                <w:szCs w:val="22"/>
                <w:u w:val="single"/>
              </w:rPr>
              <w:t>Samferdsel – teknisk innsigelse</w:t>
            </w:r>
          </w:p>
          <w:p w14:paraId="31A910CA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 er sendt oppdaterte tegninger av avkjørselen til fylkeskommunen. De har trukket innsigelsen under forutsetning om at frisikten for krysset ivaretas. Dette er lagt inn som en rekkefølgebestemmelse.</w:t>
            </w:r>
          </w:p>
          <w:p w14:paraId="1FD004E8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FD17432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1651ADA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0FCAE04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3910C4A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5369E08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D132EEB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D77EFE5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75EF68D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E0DAC8E" w14:textId="34D9B11F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Byggegrense</w:t>
            </w:r>
          </w:p>
          <w:p w14:paraId="56F38DDF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planforslaget som ble sendt på høring, gikk ikke byggegrensen gjennom vegetasjonsskjermen. Dette har blitt rettet opp i.</w:t>
            </w:r>
          </w:p>
          <w:p w14:paraId="21837911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C044CC4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7158">
              <w:rPr>
                <w:rFonts w:ascii="Arial" w:hAnsi="Arial" w:cs="Arial"/>
                <w:sz w:val="22"/>
                <w:szCs w:val="22"/>
                <w:u w:val="single"/>
              </w:rPr>
              <w:t>Andre merknader</w:t>
            </w:r>
            <w:r w:rsidRPr="00247158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Pr="00247158">
              <w:rPr>
                <w:rFonts w:ascii="Arial" w:hAnsi="Arial" w:cs="Arial"/>
                <w:sz w:val="22"/>
                <w:szCs w:val="22"/>
              </w:rPr>
              <w:t>Sym</w:t>
            </w:r>
            <w:r>
              <w:rPr>
                <w:rFonts w:ascii="Arial" w:hAnsi="Arial" w:cs="Arial"/>
                <w:sz w:val="22"/>
                <w:szCs w:val="22"/>
              </w:rPr>
              <w:t xml:space="preserve">bolet for fysisk stengning av vei er tatt ut. </w:t>
            </w:r>
          </w:p>
          <w:p w14:paraId="2D8D7636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B61F0AB" w14:textId="77777777" w:rsid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F3EDFBF" w14:textId="7E17310E" w:rsidR="00247158" w:rsidRPr="00247158" w:rsidRDefault="00247158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Innspillet til fylkeskommunen vurderes å være tilfredsstillende fulgt opp. </w:t>
            </w:r>
          </w:p>
        </w:tc>
      </w:tr>
      <w:tr w:rsidR="00F73639" w:rsidRPr="00ED48F1" w14:paraId="79E0B9AA" w14:textId="77777777" w:rsidTr="007A2F6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9045" w14:textId="55F6EBA7" w:rsidR="00AF5AE7" w:rsidRPr="00AF5AE7" w:rsidRDefault="00AF5AE7" w:rsidP="00AF5AE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A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Pr="00AF5AE7">
              <w:rPr>
                <w:rFonts w:ascii="Arial" w:hAnsi="Arial" w:cs="Arial"/>
                <w:b/>
                <w:bCs/>
                <w:sz w:val="22"/>
                <w:szCs w:val="22"/>
              </w:rPr>
              <w:t>Direktoratet for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F5AE7">
              <w:rPr>
                <w:rFonts w:ascii="Arial" w:hAnsi="Arial" w:cs="Arial"/>
                <w:b/>
                <w:bCs/>
                <w:sz w:val="22"/>
                <w:szCs w:val="22"/>
              </w:rPr>
              <w:t>mineralforvaltning</w:t>
            </w:r>
          </w:p>
          <w:p w14:paraId="001A6B8E" w14:textId="77777777" w:rsidR="00936913" w:rsidRDefault="00936913" w:rsidP="0093691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36913">
              <w:rPr>
                <w:rFonts w:ascii="Arial" w:hAnsi="Arial" w:cs="Arial"/>
                <w:sz w:val="22"/>
                <w:szCs w:val="22"/>
              </w:rPr>
              <w:t>I planbestemmelsene § 3.5 står det blant annet: «Området skal istandsettes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iht. godkjent avslutningsplan utarbeidet ifm. konsesjon.» Kommunen bør ta ut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setningen, og stille krav til den fysiske utformingen etter endt drift 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reguleringsplanen, uten henvisning til avslutningsplan i driftsplan.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7809C8" w14:textId="77777777" w:rsidR="002F5193" w:rsidRDefault="002F5193" w:rsidP="0093691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30F33B9" w14:textId="77777777" w:rsidR="002F5193" w:rsidRDefault="002F5193" w:rsidP="0093691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38308A0" w14:textId="77777777" w:rsidR="002F5193" w:rsidRDefault="002F5193" w:rsidP="0093691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7E1FB6C" w14:textId="4A8E07D6" w:rsidR="00936913" w:rsidRPr="00936913" w:rsidRDefault="00936913" w:rsidP="0093691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36913">
              <w:rPr>
                <w:rFonts w:ascii="Arial" w:hAnsi="Arial" w:cs="Arial"/>
                <w:sz w:val="22"/>
                <w:szCs w:val="22"/>
              </w:rPr>
              <w:t>I planbestemmelsene § 4.1 Steinbrudd og masseuttak bokstav a) fastslås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bunnkoter for uttaket, og «angitte bunnkoter gjelder i den grad uttak ikke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negativt påvirker grunnvannstanden». Av dette forstår DMF det slik 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begrensningene på bunnkotene er av hensyn til grunnvann. DMF mener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generelt at bunnkoter er en driftsmessig avgjørelse som skal fastsettes etter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en bergfaglig vurdering. Valg av bunnkoter i reguleringsplan bør derfor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begrunnes i planbeskrivelsen, slik at sammenhengen kommer tydelig fram.</w:t>
            </w:r>
          </w:p>
          <w:p w14:paraId="534DED4F" w14:textId="2B5F9B5D" w:rsidR="00936913" w:rsidRPr="00936913" w:rsidRDefault="00936913" w:rsidP="0093691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36913">
              <w:rPr>
                <w:rFonts w:ascii="Arial" w:hAnsi="Arial" w:cs="Arial"/>
                <w:sz w:val="22"/>
                <w:szCs w:val="22"/>
              </w:rPr>
              <w:t>I § 4.1 bokstav g) står det: «Uttaksområdet skal være skiltet og bratte kanter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skal være sikret med gjerder av hensyn til dyr og mennesker. Palletrinn mot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bruddets yttergrense må sikres slik at tredjeperson ikke utsettes for fare ved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 xml:space="preserve">ras, steinsprang eller </w:t>
            </w:r>
            <w:r w:rsidRPr="00936913">
              <w:rPr>
                <w:rFonts w:ascii="Arial" w:hAnsi="Arial" w:cs="Arial"/>
                <w:sz w:val="22"/>
                <w:szCs w:val="22"/>
              </w:rPr>
              <w:lastRenderedPageBreak/>
              <w:t>lignende». Konkrete sikringstiltak er driftsmessige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forhold som avklares i driftsplanen. DMF anbefaler å erstatte bestemmelsen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med følgende eller lignende formulering: «Uttaket skal alltid være forsvarlig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sikret».</w:t>
            </w:r>
          </w:p>
          <w:p w14:paraId="60FD9E34" w14:textId="5106A519" w:rsidR="00483642" w:rsidRPr="00ED48F1" w:rsidRDefault="00936913" w:rsidP="004465C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36913">
              <w:rPr>
                <w:rFonts w:ascii="Arial" w:hAnsi="Arial" w:cs="Arial"/>
                <w:sz w:val="22"/>
                <w:szCs w:val="22"/>
              </w:rPr>
              <w:t>I § 4.1 bokstav k) vises det til mineralloven § 49. Mineralloven vil gjelde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uavhengig av bestemmelser etter plan- og bygningsloven, og revisjoner av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lovverket kan gjøre henvisninger i bestemmelsene utdaterte og misvisende.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913">
              <w:rPr>
                <w:rFonts w:ascii="Arial" w:hAnsi="Arial" w:cs="Arial"/>
                <w:sz w:val="22"/>
                <w:szCs w:val="22"/>
              </w:rPr>
              <w:t>DMF anbefaler at formuleringen tas ut.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FB3E" w14:textId="77777777" w:rsidR="002F5193" w:rsidRDefault="002F5193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9BCF4DB" w14:textId="74EE9C31" w:rsidR="00E5393F" w:rsidRPr="00E5393F" w:rsidRDefault="00E5393F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5393F">
              <w:rPr>
                <w:rFonts w:ascii="Arial" w:hAnsi="Arial" w:cs="Arial"/>
                <w:sz w:val="22"/>
                <w:szCs w:val="22"/>
              </w:rPr>
              <w:t>Forslag: Stryke 1. setning og justere 2. setning i punkt 3.5 til følgende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393F">
              <w:rPr>
                <w:rFonts w:ascii="Arial" w:hAnsi="Arial" w:cs="Arial"/>
                <w:sz w:val="22"/>
                <w:szCs w:val="22"/>
              </w:rPr>
              <w:t>«Området skal etappevis/fortløpende tilbakeføres til LNF-areal ved å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393F">
              <w:rPr>
                <w:rFonts w:ascii="Arial" w:hAnsi="Arial" w:cs="Arial"/>
                <w:sz w:val="22"/>
                <w:szCs w:val="22"/>
              </w:rPr>
              <w:t>tilføre et tilstrekkelig toppdekke for framtidig skogproduksjon på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393F">
              <w:rPr>
                <w:rFonts w:ascii="Arial" w:hAnsi="Arial" w:cs="Arial"/>
                <w:sz w:val="22"/>
                <w:szCs w:val="22"/>
              </w:rPr>
              <w:t>bunnivå og paller i bruddet.» Dette blir for så vidt repetert i 4.1 bokstav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393F">
              <w:rPr>
                <w:rFonts w:ascii="Arial" w:hAnsi="Arial" w:cs="Arial"/>
                <w:sz w:val="22"/>
                <w:szCs w:val="22"/>
              </w:rPr>
              <w:t>f, men er informasjon som burde inngå i punktet om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393F">
              <w:rPr>
                <w:rFonts w:ascii="Arial" w:hAnsi="Arial" w:cs="Arial"/>
                <w:sz w:val="22"/>
                <w:szCs w:val="22"/>
              </w:rPr>
              <w:t>etterbruk/istandsetting.</w:t>
            </w:r>
          </w:p>
          <w:p w14:paraId="19AF7E48" w14:textId="0F9EA57A" w:rsidR="00E5393F" w:rsidRPr="00E5393F" w:rsidRDefault="00E5393F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5393F">
              <w:rPr>
                <w:rFonts w:ascii="Arial" w:hAnsi="Arial" w:cs="Arial"/>
                <w:sz w:val="22"/>
                <w:szCs w:val="22"/>
              </w:rPr>
              <w:t>Forslag: Ta inn en kort beskrivelse av bakgrunnen for bestemmelsen 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393F">
              <w:rPr>
                <w:rFonts w:ascii="Arial" w:hAnsi="Arial" w:cs="Arial"/>
                <w:sz w:val="22"/>
                <w:szCs w:val="22"/>
              </w:rPr>
              <w:t>planbeskrivelsen. Bunnkotene er basert på gitt konsesjon som igjen 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393F">
              <w:rPr>
                <w:rFonts w:ascii="Arial" w:hAnsi="Arial" w:cs="Arial"/>
                <w:sz w:val="22"/>
                <w:szCs w:val="22"/>
              </w:rPr>
              <w:t>basert på en bergfaglig vurdering, men i bestemmelsene er det tatt inn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393F">
              <w:rPr>
                <w:rFonts w:ascii="Arial" w:hAnsi="Arial" w:cs="Arial"/>
                <w:sz w:val="22"/>
                <w:szCs w:val="22"/>
              </w:rPr>
              <w:t>et forbehold som gjør at bunnkotene kan justeres opp dersom det viser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393F">
              <w:rPr>
                <w:rFonts w:ascii="Arial" w:hAnsi="Arial" w:cs="Arial"/>
                <w:sz w:val="22"/>
                <w:szCs w:val="22"/>
              </w:rPr>
              <w:t>seg at uttak negativt påvirker grunnvann.</w:t>
            </w:r>
          </w:p>
          <w:p w14:paraId="52517EDC" w14:textId="77777777" w:rsidR="002F5193" w:rsidRDefault="002F5193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BE5C932" w14:textId="77777777" w:rsidR="002F5193" w:rsidRDefault="002F5193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83CF8F7" w14:textId="77777777" w:rsidR="002F5193" w:rsidRDefault="002F5193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DDD1A93" w14:textId="3FFFC5BB" w:rsidR="00E5393F" w:rsidRPr="00E5393F" w:rsidRDefault="00E5393F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5393F">
              <w:rPr>
                <w:rFonts w:ascii="Arial" w:hAnsi="Arial" w:cs="Arial"/>
                <w:sz w:val="22"/>
                <w:szCs w:val="22"/>
              </w:rPr>
              <w:t>Ta til følge – Erstatt tekst under punkt 4.1 bokstav g med «Uttaket skal</w:t>
            </w:r>
            <w:r w:rsidR="002F51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393F">
              <w:rPr>
                <w:rFonts w:ascii="Arial" w:hAnsi="Arial" w:cs="Arial"/>
                <w:sz w:val="22"/>
                <w:szCs w:val="22"/>
              </w:rPr>
              <w:t>alltid være forsvarlig sikret».</w:t>
            </w:r>
          </w:p>
          <w:p w14:paraId="5E28B2A8" w14:textId="77777777" w:rsidR="002F5193" w:rsidRDefault="002F5193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5DB3A30" w14:textId="77777777" w:rsidR="002F5193" w:rsidRDefault="002F5193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78EB4F4" w14:textId="77777777" w:rsidR="002F5193" w:rsidRDefault="002F5193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4E6D713" w14:textId="77777777" w:rsidR="002F5193" w:rsidRDefault="002F5193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43718B4" w14:textId="77777777" w:rsidR="002F5193" w:rsidRDefault="002F5193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507518D" w14:textId="77777777" w:rsidR="002F5193" w:rsidRDefault="002F5193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37B2CF3" w14:textId="77777777" w:rsidR="002F5193" w:rsidRDefault="002F5193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D2C1A75" w14:textId="77777777" w:rsidR="002F5193" w:rsidRDefault="002F5193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651435C" w14:textId="37784CEE" w:rsidR="00E5393F" w:rsidRPr="00E5393F" w:rsidRDefault="00E5393F" w:rsidP="00E5393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5393F">
              <w:rPr>
                <w:rFonts w:ascii="Arial" w:hAnsi="Arial" w:cs="Arial"/>
                <w:sz w:val="22"/>
                <w:szCs w:val="22"/>
              </w:rPr>
              <w:t>Ta til følge – tas ut.</w:t>
            </w:r>
          </w:p>
          <w:p w14:paraId="7CAB1A9C" w14:textId="6C444898" w:rsidR="00102F77" w:rsidRPr="00ED48F1" w:rsidRDefault="00102F77" w:rsidP="0093691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832D" w14:textId="77777777" w:rsidR="00AE270A" w:rsidRDefault="00AE270A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E22701F" w14:textId="77777777" w:rsidR="00247158" w:rsidRDefault="003F27A2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Kommunen hadde møte med Direktoratet for mineralforvaltning etter høringen</w:t>
            </w:r>
            <w:r w:rsidR="00F2210E">
              <w:rPr>
                <w:rFonts w:ascii="Arial" w:hAnsi="Arial" w:cs="Arial"/>
                <w:sz w:val="22"/>
                <w:szCs w:val="22"/>
              </w:rPr>
              <w:t xml:space="preserve">, der istandsetting ble diskutert. Etter dette ble henvisningen til konsesjonen tatt ut. </w:t>
            </w:r>
            <w:r w:rsidR="00BB0EE3">
              <w:rPr>
                <w:rFonts w:ascii="Arial" w:hAnsi="Arial" w:cs="Arial"/>
                <w:sz w:val="22"/>
                <w:szCs w:val="22"/>
              </w:rPr>
              <w:t>Det ble gitt tilbakemelding om at bestemmelser om etappevis tilbakeføring kunne være uheldig for driften. Setningen er nå endret til «</w:t>
            </w:r>
            <w:r w:rsidR="00BB0EE3" w:rsidRPr="00BB0EE3">
              <w:rPr>
                <w:rFonts w:ascii="Arial" w:hAnsi="Arial" w:cs="Arial"/>
                <w:i/>
                <w:iCs/>
                <w:sz w:val="22"/>
                <w:szCs w:val="22"/>
              </w:rPr>
              <w:t>Området skal tilbakeføres til LNF-areal ved å tilføre et tilstrekkelig toppdekke for framtidig skogproduksjon på bunnivå og paller i bruddet</w:t>
            </w:r>
            <w:r w:rsidR="00BB0EE3" w:rsidRPr="00BB0EE3">
              <w:rPr>
                <w:rFonts w:ascii="Arial" w:hAnsi="Arial" w:cs="Arial"/>
                <w:sz w:val="22"/>
                <w:szCs w:val="22"/>
              </w:rPr>
              <w:t>.</w:t>
            </w:r>
            <w:r w:rsidR="00BB0EE3">
              <w:rPr>
                <w:rFonts w:ascii="Arial" w:hAnsi="Arial" w:cs="Arial"/>
                <w:sz w:val="22"/>
                <w:szCs w:val="22"/>
              </w:rPr>
              <w:t>»</w:t>
            </w:r>
          </w:p>
          <w:p w14:paraId="14CD2A81" w14:textId="66B804C8" w:rsidR="006D1734" w:rsidRDefault="006D1734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Kommunedirektøren støtte</w:t>
            </w:r>
            <w:r w:rsidR="00642308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forslagsstillers vurdering knyttet til </w:t>
            </w:r>
            <w:r w:rsidR="00FB5803">
              <w:rPr>
                <w:rFonts w:ascii="Arial" w:hAnsi="Arial" w:cs="Arial"/>
                <w:sz w:val="22"/>
                <w:szCs w:val="22"/>
              </w:rPr>
              <w:t>bunnkoter. Dette er tatt inn i planbeskrivelsen</w:t>
            </w:r>
            <w:r w:rsidR="00B21AEB">
              <w:rPr>
                <w:rFonts w:ascii="Arial" w:hAnsi="Arial" w:cs="Arial"/>
                <w:sz w:val="22"/>
                <w:szCs w:val="22"/>
              </w:rPr>
              <w:t xml:space="preserve">, punkt 7.2. </w:t>
            </w:r>
          </w:p>
          <w:p w14:paraId="5CCD9D34" w14:textId="77777777" w:rsidR="00B21AEB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1595996" w14:textId="77777777" w:rsidR="00B21AEB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17F7C58" w14:textId="77777777" w:rsidR="00B21AEB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250644B" w14:textId="77777777" w:rsidR="00B21AEB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684695A" w14:textId="77777777" w:rsidR="00B21AEB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6E8BACA" w14:textId="77777777" w:rsidR="00B21AEB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4CA44DA" w14:textId="77777777" w:rsidR="00B21AEB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0A930CF" w14:textId="77777777" w:rsidR="00B21AEB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CC90881" w14:textId="1E3823B9" w:rsidR="00B21AEB" w:rsidRDefault="00B21AEB" w:rsidP="00B21AEB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Kommunedirektøren støtte</w:t>
            </w:r>
            <w:r w:rsidR="003564CB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forslagsstillers vurdering </w:t>
            </w:r>
            <w:r>
              <w:rPr>
                <w:rFonts w:ascii="Arial" w:hAnsi="Arial" w:cs="Arial"/>
                <w:sz w:val="22"/>
                <w:szCs w:val="22"/>
              </w:rPr>
              <w:t xml:space="preserve">av 4.1 g. Bestemmelsen er oppdatert. </w:t>
            </w:r>
          </w:p>
          <w:p w14:paraId="00804ED5" w14:textId="77777777" w:rsidR="00B21AEB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84773F4" w14:textId="77777777" w:rsidR="00B21AEB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089B971" w14:textId="77777777" w:rsidR="00B21AEB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E378A3B" w14:textId="77777777" w:rsidR="00B21AEB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C5D97E0" w14:textId="77777777" w:rsidR="00B21AEB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65D170F" w14:textId="77777777" w:rsidR="00B21AEB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A50AA6C" w14:textId="6ABF3164" w:rsidR="00B21AEB" w:rsidRDefault="00B21AEB" w:rsidP="00B21AEB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Kommunedirektøren støtte</w:t>
            </w:r>
            <w:r w:rsidR="003564CB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forslagsstillers vurdering av 4.1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 xml:space="preserve">. Bestemmelsen er oppdatert. </w:t>
            </w:r>
          </w:p>
          <w:p w14:paraId="4B28DE30" w14:textId="348CAE25" w:rsidR="00B21AEB" w:rsidRPr="00ED48F1" w:rsidRDefault="00B21AEB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Oppsummert vurderer kommunedirektøren at innspillet fra Direktoratet for mineralforvaltning er tilfredsstillende fulgt opp. </w:t>
            </w:r>
          </w:p>
        </w:tc>
      </w:tr>
      <w:tr w:rsidR="00F73639" w:rsidRPr="00ED48F1" w14:paraId="6D281DA9" w14:textId="77777777" w:rsidTr="007A2F6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F14" w14:textId="16D96D45" w:rsidR="006A05ED" w:rsidRPr="006A05ED" w:rsidRDefault="004743C9" w:rsidP="006A05E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74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</w:t>
            </w:r>
            <w:r w:rsidRPr="004743C9">
              <w:rPr>
                <w:rFonts w:ascii="Arial" w:hAnsi="Arial" w:cs="Arial"/>
                <w:b/>
                <w:bCs/>
                <w:sz w:val="22"/>
                <w:szCs w:val="22"/>
              </w:rPr>
              <w:t>Statens vegvesen</w:t>
            </w:r>
            <w:r w:rsidRPr="004743C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6A05ED" w:rsidRPr="006A05ED">
              <w:rPr>
                <w:rFonts w:ascii="Arial" w:hAnsi="Arial" w:cs="Arial"/>
                <w:sz w:val="22"/>
                <w:szCs w:val="22"/>
                <w:u w:val="single"/>
              </w:rPr>
              <w:t>Byggegrense</w:t>
            </w:r>
            <w:r w:rsidR="006A05ED">
              <w:rPr>
                <w:rFonts w:ascii="Arial" w:hAnsi="Arial" w:cs="Arial"/>
                <w:sz w:val="22"/>
                <w:szCs w:val="22"/>
              </w:rPr>
              <w:br/>
            </w:r>
            <w:r w:rsidR="006A05ED" w:rsidRPr="006A05ED">
              <w:rPr>
                <w:rFonts w:ascii="Arial" w:hAnsi="Arial" w:cs="Arial"/>
                <w:sz w:val="22"/>
                <w:szCs w:val="22"/>
              </w:rPr>
              <w:t>I bestemmelse 3.3 om byggegrense mot fylkesveg anbefaler vi å erstatte</w:t>
            </w:r>
            <w:r w:rsidR="006A05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5ED" w:rsidRPr="006A05ED">
              <w:rPr>
                <w:rFonts w:ascii="Arial" w:hAnsi="Arial" w:cs="Arial"/>
                <w:sz w:val="22"/>
                <w:szCs w:val="22"/>
              </w:rPr>
              <w:t>«bebyggelse» med «byggverk». Begrepet «bebyggelse» kan oppfattes</w:t>
            </w:r>
            <w:r w:rsidR="006A05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5ED" w:rsidRPr="006A05ED">
              <w:rPr>
                <w:rFonts w:ascii="Arial" w:hAnsi="Arial" w:cs="Arial"/>
                <w:sz w:val="22"/>
                <w:szCs w:val="22"/>
              </w:rPr>
              <w:t>innsnevrende til kun å gjelde bygninger, mens «byggverk» er et samlebegrep</w:t>
            </w:r>
            <w:r w:rsidR="006A05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5ED" w:rsidRPr="006A05ED">
              <w:rPr>
                <w:rFonts w:ascii="Arial" w:hAnsi="Arial" w:cs="Arial"/>
                <w:sz w:val="22"/>
                <w:szCs w:val="22"/>
              </w:rPr>
              <w:t>og omfatter konstruksjoner, anlegg og bygninger, jf. TEK17 §1-3 bokstav b.</w:t>
            </w:r>
            <w:r w:rsidR="000138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5ED" w:rsidRPr="006A05ED">
              <w:rPr>
                <w:rFonts w:ascii="Arial" w:hAnsi="Arial" w:cs="Arial"/>
                <w:sz w:val="22"/>
                <w:szCs w:val="22"/>
              </w:rPr>
              <w:t>«Anlegg» kan omfatte alt fra veger og parkeringsplasser til broer og andre</w:t>
            </w:r>
            <w:r w:rsidR="000138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5ED" w:rsidRPr="006A05ED">
              <w:rPr>
                <w:rFonts w:ascii="Arial" w:hAnsi="Arial" w:cs="Arial"/>
                <w:sz w:val="22"/>
                <w:szCs w:val="22"/>
              </w:rPr>
              <w:t>infrastrukturelle prosjekter. Dette inkluderer også vesentlige terrenginngrep</w:t>
            </w:r>
            <w:r w:rsidR="000138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5ED" w:rsidRPr="006A05ED">
              <w:rPr>
                <w:rFonts w:ascii="Arial" w:hAnsi="Arial" w:cs="Arial"/>
                <w:sz w:val="22"/>
                <w:szCs w:val="22"/>
              </w:rPr>
              <w:t>og anlegg som utføres på eller i grunnen, i vassdrag eller i sjøområder.</w:t>
            </w:r>
          </w:p>
          <w:p w14:paraId="55C4C4B7" w14:textId="41510DEE" w:rsidR="006A05ED" w:rsidRPr="006A05ED" w:rsidRDefault="006A05ED" w:rsidP="006A05E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A05ED">
              <w:rPr>
                <w:rFonts w:ascii="Arial" w:hAnsi="Arial" w:cs="Arial"/>
                <w:sz w:val="22"/>
                <w:szCs w:val="22"/>
                <w:u w:val="single"/>
              </w:rPr>
              <w:t>Støy</w:t>
            </w:r>
            <w:r w:rsidR="000138DD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Pr="006A05ED">
              <w:rPr>
                <w:rFonts w:ascii="Arial" w:hAnsi="Arial" w:cs="Arial"/>
                <w:sz w:val="22"/>
                <w:szCs w:val="22"/>
              </w:rPr>
              <w:t>Vi mener bestemmelse 3.4 bokstav c om støy er for generell da den viser til</w:t>
            </w:r>
            <w:r w:rsidR="000138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05ED">
              <w:rPr>
                <w:rFonts w:ascii="Arial" w:hAnsi="Arial" w:cs="Arial"/>
                <w:sz w:val="22"/>
                <w:szCs w:val="22"/>
              </w:rPr>
              <w:t>hele retningslinje T-1442. For at grenseverdiene i retningslinjen skal være</w:t>
            </w:r>
            <w:r w:rsidR="000138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05ED">
              <w:rPr>
                <w:rFonts w:ascii="Arial" w:hAnsi="Arial" w:cs="Arial"/>
                <w:sz w:val="22"/>
                <w:szCs w:val="22"/>
              </w:rPr>
              <w:t>juridisk bindende, må de tas inn i reguleringsbestemmelsene, enten som en</w:t>
            </w:r>
            <w:r w:rsidR="000138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05ED">
              <w:rPr>
                <w:rFonts w:ascii="Arial" w:hAnsi="Arial" w:cs="Arial"/>
                <w:sz w:val="22"/>
                <w:szCs w:val="22"/>
              </w:rPr>
              <w:t>henvisning til tabell 2 og/eller tabell 4 i T-1442/2021 eller ved at</w:t>
            </w:r>
            <w:r w:rsidR="000138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05ED">
              <w:rPr>
                <w:rFonts w:ascii="Arial" w:hAnsi="Arial" w:cs="Arial"/>
                <w:sz w:val="22"/>
                <w:szCs w:val="22"/>
              </w:rPr>
              <w:t>grenseverdiene tallfestes i bestemmelsen.</w:t>
            </w:r>
          </w:p>
          <w:p w14:paraId="4EF0E3B0" w14:textId="57E6EB36" w:rsidR="006A05ED" w:rsidRPr="006A05ED" w:rsidRDefault="006A05ED" w:rsidP="006A05E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A05ED">
              <w:rPr>
                <w:rFonts w:ascii="Arial" w:hAnsi="Arial" w:cs="Arial"/>
                <w:sz w:val="22"/>
                <w:szCs w:val="22"/>
                <w:u w:val="single"/>
              </w:rPr>
              <w:t>Frisikt</w:t>
            </w:r>
            <w:r w:rsidR="000138DD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Pr="006A05ED">
              <w:rPr>
                <w:rFonts w:ascii="Arial" w:hAnsi="Arial" w:cs="Arial"/>
                <w:sz w:val="22"/>
                <w:szCs w:val="22"/>
              </w:rPr>
              <w:t>Vi anbefaler å utvide bestemmelse 8.1 om frisikt ved å tillate at</w:t>
            </w:r>
          </w:p>
          <w:p w14:paraId="4FE87C86" w14:textId="3DAED6A8" w:rsidR="00295DCB" w:rsidRPr="000138DD" w:rsidRDefault="006A05ED" w:rsidP="00295DCB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A05ED">
              <w:rPr>
                <w:rFonts w:ascii="Arial" w:hAnsi="Arial" w:cs="Arial"/>
                <w:sz w:val="22"/>
                <w:szCs w:val="22"/>
              </w:rPr>
              <w:t xml:space="preserve">«enkeltstående trær, stolper og liknende kan stå i sikttrekanten. </w:t>
            </w:r>
            <w:r w:rsidRPr="006A05ED">
              <w:rPr>
                <w:rFonts w:ascii="Arial" w:hAnsi="Arial" w:cs="Arial"/>
                <w:sz w:val="22"/>
                <w:szCs w:val="22"/>
              </w:rPr>
              <w:lastRenderedPageBreak/>
              <w:t>Eventuelle</w:t>
            </w:r>
            <w:r w:rsidR="000138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05ED">
              <w:rPr>
                <w:rFonts w:ascii="Arial" w:hAnsi="Arial" w:cs="Arial"/>
                <w:sz w:val="22"/>
                <w:szCs w:val="22"/>
              </w:rPr>
              <w:t>trær i sikttrekanten skal oppstammes slik at trekrona ikke hindrer sikt.» Da vil</w:t>
            </w:r>
            <w:r w:rsidR="000138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05ED">
              <w:rPr>
                <w:rFonts w:ascii="Arial" w:hAnsi="Arial" w:cs="Arial"/>
                <w:sz w:val="22"/>
                <w:szCs w:val="22"/>
              </w:rPr>
              <w:t>bestemmelsen være i samsvar med krav i vegnormal N100.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B2E" w14:textId="77777777" w:rsidR="008D22BF" w:rsidRDefault="008D22BF" w:rsidP="008D22B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8892C8C" w14:textId="1925F12E" w:rsidR="008D22BF" w:rsidRPr="008D22BF" w:rsidRDefault="008D22BF" w:rsidP="008D22B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D22BF">
              <w:rPr>
                <w:rFonts w:ascii="Arial" w:hAnsi="Arial" w:cs="Arial"/>
                <w:sz w:val="22"/>
                <w:szCs w:val="22"/>
                <w:u w:val="single"/>
              </w:rPr>
              <w:t>Byggegrense</w:t>
            </w:r>
          </w:p>
          <w:p w14:paraId="60209E24" w14:textId="6C4E2AC3" w:rsidR="008D22BF" w:rsidRDefault="008D22BF" w:rsidP="008D22B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D22BF">
              <w:rPr>
                <w:rFonts w:ascii="Arial" w:hAnsi="Arial" w:cs="Arial"/>
                <w:sz w:val="22"/>
                <w:szCs w:val="22"/>
              </w:rPr>
              <w:t>Endres som foreslått.</w:t>
            </w:r>
          </w:p>
          <w:p w14:paraId="0137C62E" w14:textId="77777777" w:rsidR="005C7D41" w:rsidRDefault="005C7D41" w:rsidP="008D22B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FA0FC17" w14:textId="0AF6C33B" w:rsidR="008D22BF" w:rsidRPr="008D22BF" w:rsidRDefault="008D22BF" w:rsidP="008D22B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D22BF">
              <w:rPr>
                <w:rFonts w:ascii="Arial" w:hAnsi="Arial" w:cs="Arial"/>
                <w:sz w:val="22"/>
                <w:szCs w:val="22"/>
                <w:u w:val="single"/>
              </w:rPr>
              <w:t>Støy</w:t>
            </w:r>
            <w:r w:rsidRPr="008D22BF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Pr="008D22BF">
              <w:rPr>
                <w:rFonts w:ascii="Arial" w:hAnsi="Arial" w:cs="Arial"/>
                <w:sz w:val="22"/>
                <w:szCs w:val="22"/>
              </w:rPr>
              <w:t>Foreslår å heller vise til forurensingsforskriften kap 30, som er mer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22BF">
              <w:rPr>
                <w:rFonts w:ascii="Arial" w:hAnsi="Arial" w:cs="Arial"/>
                <w:sz w:val="22"/>
                <w:szCs w:val="22"/>
              </w:rPr>
              <w:t>presist for masseuttak og som avviker noe i forhold til T-1442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22BF">
              <w:rPr>
                <w:rFonts w:ascii="Arial" w:hAnsi="Arial" w:cs="Arial"/>
                <w:sz w:val="22"/>
                <w:szCs w:val="22"/>
              </w:rPr>
              <w:t>(strengere). Egentlig vil jeg si bestemmelse 3.4 bokstav a dekker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22BF">
              <w:rPr>
                <w:rFonts w:ascii="Arial" w:hAnsi="Arial" w:cs="Arial"/>
                <w:sz w:val="22"/>
                <w:szCs w:val="22"/>
              </w:rPr>
              <w:t>forholdet til støy tilstrekkelig og at et eget punkt om støy er repetering,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22BF">
              <w:rPr>
                <w:rFonts w:ascii="Arial" w:hAnsi="Arial" w:cs="Arial"/>
                <w:sz w:val="22"/>
                <w:szCs w:val="22"/>
              </w:rPr>
              <w:t>men et forslag til endring av 3.4 bokstav c er følgende:</w:t>
            </w:r>
          </w:p>
          <w:p w14:paraId="75875272" w14:textId="39E81DA1" w:rsidR="008D22BF" w:rsidRPr="008D22BF" w:rsidRDefault="008D22BF" w:rsidP="008D22B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D22BF">
              <w:rPr>
                <w:rFonts w:ascii="Arial" w:hAnsi="Arial" w:cs="Arial"/>
                <w:sz w:val="22"/>
                <w:szCs w:val="22"/>
              </w:rPr>
              <w:t>«Virksomheten skal ikke overskride grenseverdiene som er satt for</w:t>
            </w:r>
            <w:r w:rsidR="005C7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22BF">
              <w:rPr>
                <w:rFonts w:ascii="Arial" w:hAnsi="Arial" w:cs="Arial"/>
                <w:sz w:val="22"/>
                <w:szCs w:val="22"/>
              </w:rPr>
              <w:t>forurensing i forurensingsforskriftens § 30-7. Støy fra sprengninger er</w:t>
            </w:r>
            <w:r w:rsidR="005C7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22BF">
              <w:rPr>
                <w:rFonts w:ascii="Arial" w:hAnsi="Arial" w:cs="Arial"/>
                <w:sz w:val="22"/>
                <w:szCs w:val="22"/>
              </w:rPr>
              <w:t>unntatt fra bestemmelsene i § 30-7, det vises forøvrig til driftstider jf.</w:t>
            </w:r>
          </w:p>
          <w:p w14:paraId="6DBE7DBB" w14:textId="6CB329B8" w:rsidR="005C7D41" w:rsidRDefault="008D22BF" w:rsidP="008D22B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D22BF">
              <w:rPr>
                <w:rFonts w:ascii="Arial" w:hAnsi="Arial" w:cs="Arial"/>
                <w:sz w:val="22"/>
                <w:szCs w:val="22"/>
              </w:rPr>
              <w:t>bestemmelse 4.1 bokstav I.»</w:t>
            </w:r>
          </w:p>
          <w:p w14:paraId="0BED8D21" w14:textId="77777777" w:rsidR="005C7D41" w:rsidRPr="008D22BF" w:rsidRDefault="005C7D41" w:rsidP="008D22B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4FE0071" w14:textId="1D0B80DB" w:rsidR="005049E3" w:rsidRPr="00ED48F1" w:rsidRDefault="005C7D41" w:rsidP="005049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C7D41">
              <w:rPr>
                <w:rFonts w:ascii="Arial" w:hAnsi="Arial" w:cs="Arial"/>
                <w:sz w:val="22"/>
                <w:szCs w:val="22"/>
                <w:u w:val="single"/>
              </w:rPr>
              <w:t>Frisikt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8D22BF" w:rsidRPr="008D22BF">
              <w:rPr>
                <w:rFonts w:ascii="Arial" w:hAnsi="Arial" w:cs="Arial"/>
                <w:sz w:val="22"/>
                <w:szCs w:val="22"/>
              </w:rPr>
              <w:t>Ta til følge – tekst tas inn i bestemmelsene.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766B" w14:textId="77777777" w:rsidR="003E09F7" w:rsidRDefault="003E09F7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E46FA6B" w14:textId="77777777" w:rsid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D22BF">
              <w:rPr>
                <w:rFonts w:ascii="Arial" w:hAnsi="Arial" w:cs="Arial"/>
                <w:sz w:val="22"/>
                <w:szCs w:val="22"/>
                <w:u w:val="single"/>
              </w:rPr>
              <w:t>Byggegrense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Kommummunedirektøren støtter forslagsstillers vurdering, og bekrefter at endringen er gjort. </w:t>
            </w:r>
          </w:p>
          <w:p w14:paraId="00C06256" w14:textId="77777777" w:rsid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D22BF">
              <w:rPr>
                <w:rFonts w:ascii="Arial" w:hAnsi="Arial" w:cs="Arial"/>
                <w:sz w:val="22"/>
                <w:szCs w:val="22"/>
                <w:u w:val="single"/>
              </w:rPr>
              <w:t>Støy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Kommunedirektøren vurderer at planforslaget bør referer til T-1442, som ved høringen. Forurensningsforskriften vil uansett gjelde. Det er lagt inn henvisning til tabellene. </w:t>
            </w:r>
          </w:p>
          <w:p w14:paraId="7C417E79" w14:textId="77777777" w:rsid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D5C5B9B" w14:textId="77777777" w:rsid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AF0E8D1" w14:textId="77777777" w:rsid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4A10561" w14:textId="77777777" w:rsid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66D6B6D" w14:textId="77777777" w:rsid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FC27115" w14:textId="77777777" w:rsid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714C07E" w14:textId="77777777" w:rsid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5E6735D" w14:textId="77777777" w:rsid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E93070C" w14:textId="77777777" w:rsid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491CD17" w14:textId="77777777" w:rsid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A7396A9" w14:textId="77777777" w:rsid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FA57D5C" w14:textId="77777777" w:rsidR="00D24593" w:rsidRDefault="00D24593" w:rsidP="00D2459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24593">
              <w:rPr>
                <w:rFonts w:ascii="Arial" w:hAnsi="Arial" w:cs="Arial"/>
                <w:sz w:val="22"/>
                <w:szCs w:val="22"/>
                <w:u w:val="single"/>
              </w:rPr>
              <w:t>Frisikt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Kommummunedirektøren støtter forslagsstillers vurdering, og bekrefter at endringen er gjort. </w:t>
            </w:r>
          </w:p>
          <w:p w14:paraId="2BDC536E" w14:textId="77777777" w:rsid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F63A7C6" w14:textId="6BD6D5FE" w:rsidR="00D24593" w:rsidRPr="00D24593" w:rsidRDefault="00D24593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Oppsummert vurderer kommunedirektøren at innspillet fra </w:t>
            </w:r>
            <w:r>
              <w:rPr>
                <w:rFonts w:ascii="Arial" w:hAnsi="Arial" w:cs="Arial"/>
                <w:sz w:val="22"/>
                <w:szCs w:val="22"/>
              </w:rPr>
              <w:t>Statens vegvesen</w:t>
            </w:r>
            <w:r>
              <w:rPr>
                <w:rFonts w:ascii="Arial" w:hAnsi="Arial" w:cs="Arial"/>
                <w:sz w:val="22"/>
                <w:szCs w:val="22"/>
              </w:rPr>
              <w:t xml:space="preserve"> er tilfredsstillende fulgt opp.</w:t>
            </w:r>
          </w:p>
        </w:tc>
      </w:tr>
      <w:tr w:rsidR="00F73639" w:rsidRPr="00ED48F1" w14:paraId="30F34554" w14:textId="77777777" w:rsidTr="007A2F6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4312" w14:textId="4C394551" w:rsidR="008C3A8D" w:rsidRPr="008C3A8D" w:rsidRDefault="008C3A8D" w:rsidP="008C3A8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Pr="008C3A8D">
              <w:rPr>
                <w:rFonts w:ascii="Arial" w:hAnsi="Arial" w:cs="Arial"/>
                <w:b/>
                <w:sz w:val="22"/>
                <w:szCs w:val="22"/>
              </w:rPr>
              <w:t>Interkommunal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C3A8D">
              <w:rPr>
                <w:rFonts w:ascii="Arial" w:hAnsi="Arial" w:cs="Arial"/>
                <w:b/>
                <w:sz w:val="22"/>
                <w:szCs w:val="22"/>
              </w:rPr>
              <w:t>samfunnsmedisinsk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C3A8D">
              <w:rPr>
                <w:rFonts w:ascii="Arial" w:hAnsi="Arial" w:cs="Arial"/>
                <w:b/>
                <w:sz w:val="22"/>
                <w:szCs w:val="22"/>
              </w:rPr>
              <w:t>enhet 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C3A8D">
              <w:rPr>
                <w:rFonts w:ascii="Arial" w:hAnsi="Arial" w:cs="Arial"/>
                <w:b/>
                <w:sz w:val="22"/>
                <w:szCs w:val="22"/>
              </w:rPr>
              <w:t>Ringeriksregionen</w:t>
            </w:r>
          </w:p>
          <w:p w14:paraId="3198853D" w14:textId="0CBA1009" w:rsidR="00E634AC" w:rsidRPr="00E634AC" w:rsidRDefault="00E634AC" w:rsidP="00E634A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E634AC">
              <w:rPr>
                <w:rFonts w:ascii="Arial" w:hAnsi="Arial" w:cs="Arial"/>
                <w:bCs/>
                <w:sz w:val="22"/>
                <w:szCs w:val="22"/>
              </w:rPr>
              <w:t>Samfunnshelse har ikke innvendinger til reguleringsplanen for Sokna sand og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634AC">
              <w:rPr>
                <w:rFonts w:ascii="Arial" w:hAnsi="Arial" w:cs="Arial"/>
                <w:bCs/>
                <w:sz w:val="22"/>
                <w:szCs w:val="22"/>
              </w:rPr>
              <w:t>pukk AS.</w:t>
            </w:r>
          </w:p>
          <w:p w14:paraId="1D5B57CC" w14:textId="3F759DB1" w:rsidR="00E81612" w:rsidRPr="00E81612" w:rsidRDefault="00E634AC" w:rsidP="00E8161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E634AC">
              <w:rPr>
                <w:rFonts w:ascii="Arial" w:hAnsi="Arial" w:cs="Arial"/>
                <w:bCs/>
                <w:sz w:val="22"/>
                <w:szCs w:val="22"/>
              </w:rPr>
              <w:t>Samfunnshelse anmoder om at kommunen ved reguleringsplankontoret,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634AC">
              <w:rPr>
                <w:rFonts w:ascii="Arial" w:hAnsi="Arial" w:cs="Arial"/>
                <w:bCs/>
                <w:sz w:val="22"/>
                <w:szCs w:val="22"/>
              </w:rPr>
              <w:t>bidrar til at kommunen, eier av Strømsoddveien og Sokna sand og pukk AS</w:t>
            </w:r>
            <w:r w:rsidR="00E8161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81612" w:rsidRPr="00E81612">
              <w:rPr>
                <w:rFonts w:ascii="Arial" w:hAnsi="Arial" w:cs="Arial"/>
                <w:bCs/>
                <w:sz w:val="22"/>
                <w:szCs w:val="22"/>
              </w:rPr>
              <w:t>iverksetter nødvendige tiltak for å redusere utfordringene med støy, støv og</w:t>
            </w:r>
            <w:r w:rsidR="00E8161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81612" w:rsidRPr="00E81612">
              <w:rPr>
                <w:rFonts w:ascii="Arial" w:hAnsi="Arial" w:cs="Arial"/>
                <w:bCs/>
                <w:sz w:val="22"/>
                <w:szCs w:val="22"/>
              </w:rPr>
              <w:t>trafikksikkerhet ved boligområdene, skoleområdene og elevenes skoleveier.</w:t>
            </w:r>
          </w:p>
          <w:p w14:paraId="3706C838" w14:textId="5443E993" w:rsidR="004465C8" w:rsidRPr="008C3A8D" w:rsidRDefault="004465C8" w:rsidP="008C3A8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CE82" w14:textId="0DB56A81" w:rsidR="004465C8" w:rsidRPr="00ED48F1" w:rsidRDefault="00E81612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81612">
              <w:rPr>
                <w:rFonts w:ascii="Arial" w:hAnsi="Arial" w:cs="Arial"/>
                <w:sz w:val="22"/>
                <w:szCs w:val="22"/>
              </w:rPr>
              <w:t>Reguleringsplanen for uttaket vil ikke medføre endring i trafikk, men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1612">
              <w:rPr>
                <w:rFonts w:ascii="Arial" w:hAnsi="Arial" w:cs="Arial"/>
                <w:sz w:val="22"/>
                <w:szCs w:val="22"/>
              </w:rPr>
              <w:t>lengre tidshorisont for driften. Det er utarbeidet 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1612">
              <w:rPr>
                <w:rFonts w:ascii="Arial" w:hAnsi="Arial" w:cs="Arial"/>
                <w:sz w:val="22"/>
                <w:szCs w:val="22"/>
              </w:rPr>
              <w:t>trafikksikkerhetsvurdering hvor de anbefalte avbøtende tiltaket som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1612">
              <w:rPr>
                <w:rFonts w:ascii="Arial" w:hAnsi="Arial" w:cs="Arial"/>
                <w:sz w:val="22"/>
                <w:szCs w:val="22"/>
              </w:rPr>
              <w:t>direkte knytter seg til planområdet og driften er innarbeidet 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1612">
              <w:rPr>
                <w:rFonts w:ascii="Arial" w:hAnsi="Arial" w:cs="Arial"/>
                <w:sz w:val="22"/>
                <w:szCs w:val="22"/>
              </w:rPr>
              <w:t>planforslaget.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139E" w14:textId="671C4FC4" w:rsidR="004465C8" w:rsidRPr="00ED48F1" w:rsidRDefault="001A1007" w:rsidP="00DA3E2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A1007">
              <w:rPr>
                <w:rFonts w:ascii="Arial" w:hAnsi="Arial" w:cs="Arial"/>
                <w:sz w:val="22"/>
                <w:szCs w:val="22"/>
              </w:rPr>
              <w:t>Trafikken til og fra uttaksområdet har vært en sentral problemstilling i planarbeidet. Kommunedirektøren konkluderer imidlertid med at temaet ble vurdert og tatt stilling til i forbindelse med behandlingen av planforslaget i april 2025. Kommunedirektøren anbefaler derfor ikke nye avbøtende tiltak nå. Kommunedirektøren henviser også til kommunedirektørens vurdering i saksframlegget til behandlingen av planforslaget i april 2025.</w:t>
            </w:r>
          </w:p>
        </w:tc>
      </w:tr>
      <w:tr w:rsidR="00F73639" w:rsidRPr="00ED48F1" w14:paraId="624F8673" w14:textId="77777777" w:rsidTr="007A2F6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271" w14:textId="4A62E977" w:rsidR="00483642" w:rsidRPr="00ED48F1" w:rsidRDefault="00712E39" w:rsidP="00712E3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7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 </w:t>
            </w:r>
            <w:r w:rsidRPr="00E4470C">
              <w:rPr>
                <w:rFonts w:ascii="Arial" w:hAnsi="Arial" w:cs="Arial"/>
                <w:b/>
                <w:bCs/>
                <w:sz w:val="22"/>
                <w:szCs w:val="22"/>
              </w:rPr>
              <w:t>Mattilsynet</w:t>
            </w:r>
            <w:r w:rsidR="00E4470C">
              <w:rPr>
                <w:rFonts w:ascii="Arial" w:hAnsi="Arial" w:cs="Arial"/>
                <w:sz w:val="22"/>
                <w:szCs w:val="22"/>
              </w:rPr>
              <w:br/>
            </w:r>
            <w:r w:rsidRPr="00712E39">
              <w:rPr>
                <w:rFonts w:ascii="Arial" w:hAnsi="Arial" w:cs="Arial"/>
                <w:sz w:val="22"/>
                <w:szCs w:val="22"/>
              </w:rPr>
              <w:t>Vi har gjennomgått saksdokumentene og finner at forhold innenfor vårt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2E39">
              <w:rPr>
                <w:rFonts w:ascii="Arial" w:hAnsi="Arial" w:cs="Arial"/>
                <w:sz w:val="22"/>
                <w:szCs w:val="22"/>
              </w:rPr>
              <w:t>forvaltningsområde er ivaretatt. Vi har følgelig ingen innvendinger til tiltaket.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9008" w14:textId="77777777" w:rsidR="00E4470C" w:rsidRPr="00E4470C" w:rsidRDefault="00E4470C" w:rsidP="00E4470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70C">
              <w:rPr>
                <w:rFonts w:ascii="Arial" w:hAnsi="Arial" w:cs="Arial"/>
                <w:sz w:val="22"/>
                <w:szCs w:val="22"/>
              </w:rPr>
              <w:t>Ok.</w:t>
            </w:r>
          </w:p>
          <w:p w14:paraId="2891FC28" w14:textId="59D0CCBF" w:rsidR="00E13A3A" w:rsidRPr="00ED48F1" w:rsidRDefault="00E13A3A" w:rsidP="00B0345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1E7" w14:textId="773385B0" w:rsidR="00AE270A" w:rsidRPr="00ED48F1" w:rsidRDefault="00307354" w:rsidP="00AE270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Ingen kommentarer.</w:t>
            </w:r>
          </w:p>
        </w:tc>
      </w:tr>
      <w:tr w:rsidR="00F73639" w:rsidRPr="00ED48F1" w14:paraId="40E3406D" w14:textId="77777777" w:rsidTr="007A2F6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12C4" w14:textId="25C26FDD" w:rsidR="00E56B7F" w:rsidRPr="00ED48F1" w:rsidRDefault="00E4470C" w:rsidP="007D510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7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 </w:t>
            </w:r>
            <w:r w:rsidRPr="00E4470C">
              <w:rPr>
                <w:rFonts w:ascii="Arial" w:hAnsi="Arial" w:cs="Arial"/>
                <w:b/>
                <w:bCs/>
                <w:sz w:val="22"/>
                <w:szCs w:val="22"/>
              </w:rPr>
              <w:t>Wilhelm P. C.</w:t>
            </w:r>
            <w:r w:rsidRPr="00E447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470C">
              <w:rPr>
                <w:rFonts w:ascii="Arial" w:hAnsi="Arial" w:cs="Arial"/>
                <w:b/>
                <w:bCs/>
                <w:sz w:val="22"/>
                <w:szCs w:val="22"/>
              </w:rPr>
              <w:t>Blystad på vegne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</w:t>
            </w:r>
            <w:r w:rsidRPr="00E4470C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E447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470C">
              <w:rPr>
                <w:rFonts w:ascii="Arial" w:hAnsi="Arial" w:cs="Arial"/>
                <w:b/>
                <w:bCs/>
                <w:sz w:val="22"/>
                <w:szCs w:val="22"/>
              </w:rPr>
              <w:t>Tyttebærmoen</w:t>
            </w:r>
            <w:r w:rsidRPr="00E447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470C">
              <w:rPr>
                <w:rFonts w:ascii="Arial" w:hAnsi="Arial" w:cs="Arial"/>
                <w:b/>
                <w:bCs/>
                <w:sz w:val="22"/>
                <w:szCs w:val="22"/>
              </w:rPr>
              <w:t>Eiendom AS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A664F3" w:rsidRPr="00A664F3">
              <w:rPr>
                <w:rFonts w:ascii="Arial" w:hAnsi="Arial" w:cs="Arial"/>
                <w:sz w:val="22"/>
                <w:szCs w:val="22"/>
              </w:rPr>
              <w:t>Planområdet for regulering av Djupedal massemottak inkluderer</w:t>
            </w:r>
            <w:r w:rsidR="00A664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4F3" w:rsidRPr="00A664F3">
              <w:rPr>
                <w:rFonts w:ascii="Arial" w:hAnsi="Arial" w:cs="Arial"/>
                <w:sz w:val="22"/>
                <w:szCs w:val="22"/>
              </w:rPr>
              <w:t>hensynssoner som berører areal tilknyttet eiendom 149/1, Ringerike. Denne</w:t>
            </w:r>
            <w:r w:rsidR="00A664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4F3" w:rsidRPr="00A664F3">
              <w:rPr>
                <w:rFonts w:ascii="Arial" w:hAnsi="Arial" w:cs="Arial"/>
                <w:sz w:val="22"/>
                <w:szCs w:val="22"/>
              </w:rPr>
              <w:t>delen av eiendom 149/1 er del av nytt areal foreslått omdisponert i ny</w:t>
            </w:r>
            <w:r w:rsidR="00A664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4F3" w:rsidRPr="00A664F3">
              <w:rPr>
                <w:rFonts w:ascii="Arial" w:hAnsi="Arial" w:cs="Arial"/>
                <w:sz w:val="22"/>
                <w:szCs w:val="22"/>
              </w:rPr>
              <w:t>arealplan. Hensynsonene tilknyttet Djupedal masseuttak bør endres for å ikke</w:t>
            </w:r>
            <w:r w:rsidR="00A664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4F3" w:rsidRPr="00A664F3">
              <w:rPr>
                <w:rFonts w:ascii="Arial" w:hAnsi="Arial" w:cs="Arial"/>
                <w:sz w:val="22"/>
                <w:szCs w:val="22"/>
              </w:rPr>
              <w:t>forhindre eventuell utvikling av nytt foreslått omdisponert areal tilhørende</w:t>
            </w:r>
            <w:r w:rsidR="00A664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4F3" w:rsidRPr="00A664F3">
              <w:rPr>
                <w:rFonts w:ascii="Arial" w:hAnsi="Arial" w:cs="Arial"/>
                <w:sz w:val="22"/>
                <w:szCs w:val="22"/>
              </w:rPr>
              <w:t>eiendom 149/1.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B615" w14:textId="4813CE19" w:rsidR="007D5104" w:rsidRPr="00ED48F1" w:rsidRDefault="002152B3" w:rsidP="007D510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152B3">
              <w:rPr>
                <w:rFonts w:ascii="Arial" w:hAnsi="Arial" w:cs="Arial"/>
                <w:sz w:val="22"/>
                <w:szCs w:val="22"/>
              </w:rPr>
              <w:t>Hensynssonen er knyttet til helårsbekk. Ved en eventuell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52B3">
              <w:rPr>
                <w:rFonts w:ascii="Arial" w:hAnsi="Arial" w:cs="Arial"/>
                <w:sz w:val="22"/>
                <w:szCs w:val="22"/>
              </w:rPr>
              <w:t>omdisponering av arealet på eiendom 149/1, vil det samme kravet ti</w:t>
            </w:r>
            <w:r>
              <w:rPr>
                <w:rFonts w:ascii="Arial" w:hAnsi="Arial" w:cs="Arial"/>
                <w:sz w:val="22"/>
                <w:szCs w:val="22"/>
              </w:rPr>
              <w:t xml:space="preserve">l </w:t>
            </w:r>
            <w:r w:rsidRPr="002152B3">
              <w:rPr>
                <w:rFonts w:ascii="Arial" w:hAnsi="Arial" w:cs="Arial"/>
                <w:sz w:val="22"/>
                <w:szCs w:val="22"/>
              </w:rPr>
              <w:t>hensynssone bli stilt for eiendom 149/1. Hvis ikke arealet på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52B3">
              <w:rPr>
                <w:rFonts w:ascii="Arial" w:hAnsi="Arial" w:cs="Arial"/>
                <w:sz w:val="22"/>
                <w:szCs w:val="22"/>
              </w:rPr>
              <w:t>eiendom 149/1 blir omdisponert, vil det fortsette som et LNF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52B3">
              <w:rPr>
                <w:rFonts w:ascii="Arial" w:hAnsi="Arial" w:cs="Arial"/>
                <w:sz w:val="22"/>
                <w:szCs w:val="22"/>
              </w:rPr>
              <w:t>område. I så fall er det også i skogbruket krav til hensynssone til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52B3">
              <w:rPr>
                <w:rFonts w:ascii="Arial" w:hAnsi="Arial" w:cs="Arial"/>
                <w:sz w:val="22"/>
                <w:szCs w:val="22"/>
              </w:rPr>
              <w:t>vassdrag. Ved evt. utvikling av 149/1 vil det bli krav om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52B3">
              <w:rPr>
                <w:rFonts w:ascii="Arial" w:hAnsi="Arial" w:cs="Arial"/>
                <w:sz w:val="22"/>
                <w:szCs w:val="22"/>
              </w:rPr>
              <w:t>reguleringsplan og da vil ny plan erstatte gjeldende plan.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050B" w14:textId="78C3245C" w:rsidR="007D5104" w:rsidRPr="00ED48F1" w:rsidRDefault="00EF1E6C" w:rsidP="00EF1E6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F1E6C">
              <w:rPr>
                <w:rFonts w:ascii="Arial" w:hAnsi="Arial" w:cs="Arial"/>
                <w:sz w:val="22"/>
                <w:szCs w:val="22"/>
              </w:rPr>
              <w:t xml:space="preserve">Kommunedirektøren </w:t>
            </w:r>
            <w:r>
              <w:rPr>
                <w:rFonts w:ascii="Arial" w:hAnsi="Arial" w:cs="Arial"/>
                <w:sz w:val="22"/>
                <w:szCs w:val="22"/>
              </w:rPr>
              <w:t xml:space="preserve">støtter </w:t>
            </w:r>
            <w:r w:rsidRPr="00EF1E6C">
              <w:rPr>
                <w:rFonts w:ascii="Arial" w:hAnsi="Arial" w:cs="Arial"/>
                <w:sz w:val="22"/>
                <w:szCs w:val="22"/>
              </w:rPr>
              <w:t>vurderingen</w:t>
            </w:r>
            <w:r>
              <w:rPr>
                <w:rFonts w:ascii="Arial" w:hAnsi="Arial" w:cs="Arial"/>
                <w:sz w:val="22"/>
                <w:szCs w:val="22"/>
              </w:rPr>
              <w:t xml:space="preserve"> til forslagsstiller</w:t>
            </w:r>
            <w:r w:rsidRPr="00EF1E6C">
              <w:rPr>
                <w:rFonts w:ascii="Arial" w:hAnsi="Arial" w:cs="Arial"/>
                <w:sz w:val="22"/>
                <w:szCs w:val="22"/>
              </w:rPr>
              <w:t>. Kommunedirektøren vurderer at arealet bør være med i planområdet, for å sikre at en får en funksjonell kantsone som beskytter bekken nord for uttaksområdet.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E631633" w14:textId="77777777" w:rsidR="009F781B" w:rsidRDefault="009F781B" w:rsidP="00C02DE1"/>
    <w:sectPr w:rsidR="009F781B" w:rsidSect="007D51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4D5D" w14:textId="77777777" w:rsidR="00373E2E" w:rsidRDefault="00373E2E">
      <w:r>
        <w:separator/>
      </w:r>
    </w:p>
  </w:endnote>
  <w:endnote w:type="continuationSeparator" w:id="0">
    <w:p w14:paraId="2C485560" w14:textId="77777777" w:rsidR="00373E2E" w:rsidRDefault="0037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6CEA" w14:textId="08F1064F" w:rsidR="00B34421" w:rsidRDefault="00B3442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8BA9A4" wp14:editId="450DCED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6510"/>
              <wp:wrapSquare wrapText="bothSides"/>
              <wp:docPr id="2" name="Tekstboks 2" descr="Internt dok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D3525" w14:textId="08BC90DB" w:rsidR="00B34421" w:rsidRPr="00B34421" w:rsidRDefault="00B34421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B34421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Internt dokument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BA9A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t dokument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0F0D3525" w14:textId="08BC90DB" w:rsidR="00B34421" w:rsidRPr="00B34421" w:rsidRDefault="00B34421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B34421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Internt dokument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35F3" w14:textId="21DB2104" w:rsidR="005565A0" w:rsidRDefault="00B34421" w:rsidP="00AD4C0E">
    <w:pPr>
      <w:pStyle w:val="Bunntekst"/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8E6BF2" wp14:editId="487FD5D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6510"/>
              <wp:wrapSquare wrapText="bothSides"/>
              <wp:docPr id="3" name="Tekstboks 3" descr="Internt dok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6D94F" w14:textId="683B5D86" w:rsidR="00B34421" w:rsidRPr="00B34421" w:rsidRDefault="00B34421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B34421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Internt dokument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E6BF2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t dokument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936D94F" w14:textId="683B5D86" w:rsidR="00B34421" w:rsidRPr="00B34421" w:rsidRDefault="00B34421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B34421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Internt dokument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565A0">
      <w:rPr>
        <w:sz w:val="16"/>
      </w:rPr>
      <w:tab/>
    </w:r>
    <w:r w:rsidR="005565A0">
      <w:tab/>
    </w:r>
    <w:r w:rsidR="005565A0">
      <w:rPr>
        <w:rStyle w:val="Sidetall"/>
      </w:rPr>
      <w:fldChar w:fldCharType="begin"/>
    </w:r>
    <w:r w:rsidR="005565A0">
      <w:rPr>
        <w:rStyle w:val="Sidetall"/>
      </w:rPr>
      <w:instrText xml:space="preserve"> PAGE </w:instrText>
    </w:r>
    <w:r w:rsidR="005565A0">
      <w:rPr>
        <w:rStyle w:val="Sidetall"/>
      </w:rPr>
      <w:fldChar w:fldCharType="separate"/>
    </w:r>
    <w:r w:rsidR="00416FB7">
      <w:rPr>
        <w:rStyle w:val="Sidetall"/>
        <w:noProof/>
      </w:rPr>
      <w:t>2</w:t>
    </w:r>
    <w:r w:rsidR="005565A0">
      <w:rPr>
        <w:rStyle w:val="Sidetal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189" w14:textId="636E95C5" w:rsidR="00B34421" w:rsidRDefault="00B3442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749B15" wp14:editId="08683FF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6510"/>
              <wp:wrapSquare wrapText="bothSides"/>
              <wp:docPr id="1" name="Tekstboks 1" descr="Internt dok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C85D1" w14:textId="7BC67AF7" w:rsidR="00B34421" w:rsidRPr="00B34421" w:rsidRDefault="00B34421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B34421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Internt dokument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49B15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t dokument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5C9C85D1" w14:textId="7BC67AF7" w:rsidR="00B34421" w:rsidRPr="00B34421" w:rsidRDefault="00B34421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B34421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Internt dokument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8E04" w14:textId="77777777" w:rsidR="00373E2E" w:rsidRDefault="00373E2E">
      <w:r>
        <w:separator/>
      </w:r>
    </w:p>
  </w:footnote>
  <w:footnote w:type="continuationSeparator" w:id="0">
    <w:p w14:paraId="2D8D0B54" w14:textId="77777777" w:rsidR="00373E2E" w:rsidRDefault="00373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CE3A" w14:textId="77777777" w:rsidR="00B34421" w:rsidRDefault="00B3442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8E04" w14:textId="77777777" w:rsidR="00B34421" w:rsidRDefault="00B3442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00FB" w14:textId="511E3503" w:rsidR="0016281D" w:rsidRPr="00536A9F" w:rsidRDefault="007767EE" w:rsidP="0016281D">
    <w:pPr>
      <w:pStyle w:val="Topptekst"/>
      <w:jc w:val="right"/>
      <w:rPr>
        <w:rFonts w:ascii="Arial" w:hAnsi="Arial" w:cs="Arial"/>
        <w:sz w:val="22"/>
      </w:rPr>
    </w:pPr>
    <w:r w:rsidRPr="00536A9F">
      <w:rPr>
        <w:rFonts w:ascii="Arial" w:hAnsi="Arial" w:cs="Arial"/>
        <w:sz w:val="22"/>
      </w:rPr>
      <w:t xml:space="preserve">Sist revidert </w:t>
    </w:r>
    <w:r w:rsidR="00536A9F">
      <w:rPr>
        <w:rFonts w:ascii="Arial" w:hAnsi="Arial" w:cs="Arial"/>
        <w:sz w:val="22"/>
      </w:rPr>
      <w:t>06.07.2021</w:t>
    </w:r>
  </w:p>
  <w:p w14:paraId="173273E1" w14:textId="77777777" w:rsidR="0016281D" w:rsidRDefault="0016281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E64"/>
    <w:multiLevelType w:val="hybridMultilevel"/>
    <w:tmpl w:val="994463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6BBA"/>
    <w:multiLevelType w:val="hybridMultilevel"/>
    <w:tmpl w:val="6DC2485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41896"/>
    <w:multiLevelType w:val="hybridMultilevel"/>
    <w:tmpl w:val="E544FE8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65211"/>
    <w:multiLevelType w:val="hybridMultilevel"/>
    <w:tmpl w:val="D0E2F4F4"/>
    <w:lvl w:ilvl="0" w:tplc="B6542F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902EB"/>
    <w:multiLevelType w:val="hybridMultilevel"/>
    <w:tmpl w:val="88F6C2D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95721"/>
    <w:multiLevelType w:val="hybridMultilevel"/>
    <w:tmpl w:val="B680FE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B0BFE"/>
    <w:multiLevelType w:val="hybridMultilevel"/>
    <w:tmpl w:val="21284B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0CD5"/>
    <w:multiLevelType w:val="hybridMultilevel"/>
    <w:tmpl w:val="438A9952"/>
    <w:lvl w:ilvl="0" w:tplc="B6542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B3444"/>
    <w:multiLevelType w:val="hybridMultilevel"/>
    <w:tmpl w:val="8E04B634"/>
    <w:lvl w:ilvl="0" w:tplc="B6542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6956569">
    <w:abstractNumId w:val="3"/>
  </w:num>
  <w:num w:numId="2" w16cid:durableId="588545188">
    <w:abstractNumId w:val="8"/>
  </w:num>
  <w:num w:numId="3" w16cid:durableId="1080952254">
    <w:abstractNumId w:val="7"/>
  </w:num>
  <w:num w:numId="4" w16cid:durableId="856776264">
    <w:abstractNumId w:val="4"/>
  </w:num>
  <w:num w:numId="5" w16cid:durableId="1027099693">
    <w:abstractNumId w:val="2"/>
  </w:num>
  <w:num w:numId="6" w16cid:durableId="313140492">
    <w:abstractNumId w:val="1"/>
  </w:num>
  <w:num w:numId="7" w16cid:durableId="261691673">
    <w:abstractNumId w:val="5"/>
  </w:num>
  <w:num w:numId="8" w16cid:durableId="1042704604">
    <w:abstractNumId w:val="6"/>
  </w:num>
  <w:num w:numId="9" w16cid:durableId="178306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D3"/>
    <w:rsid w:val="000138DD"/>
    <w:rsid w:val="0003715C"/>
    <w:rsid w:val="00043A3E"/>
    <w:rsid w:val="00043F47"/>
    <w:rsid w:val="000524F7"/>
    <w:rsid w:val="00060017"/>
    <w:rsid w:val="00086235"/>
    <w:rsid w:val="00097C68"/>
    <w:rsid w:val="000A724B"/>
    <w:rsid w:val="000B2173"/>
    <w:rsid w:val="000C3680"/>
    <w:rsid w:val="000D44FF"/>
    <w:rsid w:val="000E0305"/>
    <w:rsid w:val="000E65DB"/>
    <w:rsid w:val="001019E3"/>
    <w:rsid w:val="00102F77"/>
    <w:rsid w:val="001035FD"/>
    <w:rsid w:val="00116B39"/>
    <w:rsid w:val="001335ED"/>
    <w:rsid w:val="00151BE3"/>
    <w:rsid w:val="00152934"/>
    <w:rsid w:val="0016281D"/>
    <w:rsid w:val="00176FB0"/>
    <w:rsid w:val="00194E15"/>
    <w:rsid w:val="001A1007"/>
    <w:rsid w:val="001A28EC"/>
    <w:rsid w:val="001C41E7"/>
    <w:rsid w:val="001D4005"/>
    <w:rsid w:val="001D6683"/>
    <w:rsid w:val="001F3BF4"/>
    <w:rsid w:val="001F6C8B"/>
    <w:rsid w:val="002130DA"/>
    <w:rsid w:val="002152B3"/>
    <w:rsid w:val="00215D77"/>
    <w:rsid w:val="0023220C"/>
    <w:rsid w:val="00233F71"/>
    <w:rsid w:val="00234D8F"/>
    <w:rsid w:val="00247158"/>
    <w:rsid w:val="00247BE5"/>
    <w:rsid w:val="0027565E"/>
    <w:rsid w:val="00276C70"/>
    <w:rsid w:val="00283D0E"/>
    <w:rsid w:val="00295DCB"/>
    <w:rsid w:val="00296198"/>
    <w:rsid w:val="002D53A0"/>
    <w:rsid w:val="002F5193"/>
    <w:rsid w:val="00304A76"/>
    <w:rsid w:val="00307354"/>
    <w:rsid w:val="0034087F"/>
    <w:rsid w:val="00350F8D"/>
    <w:rsid w:val="003564CB"/>
    <w:rsid w:val="00360AE6"/>
    <w:rsid w:val="00373E2E"/>
    <w:rsid w:val="00377B01"/>
    <w:rsid w:val="00386354"/>
    <w:rsid w:val="00393765"/>
    <w:rsid w:val="003A1834"/>
    <w:rsid w:val="003B350F"/>
    <w:rsid w:val="003B3ADC"/>
    <w:rsid w:val="003B4331"/>
    <w:rsid w:val="003D5295"/>
    <w:rsid w:val="003E09F7"/>
    <w:rsid w:val="003E3234"/>
    <w:rsid w:val="003F27A2"/>
    <w:rsid w:val="00416FB7"/>
    <w:rsid w:val="004279A3"/>
    <w:rsid w:val="00441A76"/>
    <w:rsid w:val="00444FAE"/>
    <w:rsid w:val="004465C8"/>
    <w:rsid w:val="00447538"/>
    <w:rsid w:val="004743C9"/>
    <w:rsid w:val="00474CAE"/>
    <w:rsid w:val="00483642"/>
    <w:rsid w:val="00484ECC"/>
    <w:rsid w:val="004B03D7"/>
    <w:rsid w:val="004C1E63"/>
    <w:rsid w:val="004E07B5"/>
    <w:rsid w:val="005049E3"/>
    <w:rsid w:val="0052435E"/>
    <w:rsid w:val="00532CD8"/>
    <w:rsid w:val="00536A9F"/>
    <w:rsid w:val="0054155D"/>
    <w:rsid w:val="00547FAA"/>
    <w:rsid w:val="005565A0"/>
    <w:rsid w:val="0057360C"/>
    <w:rsid w:val="00580693"/>
    <w:rsid w:val="00594FDB"/>
    <w:rsid w:val="005A240C"/>
    <w:rsid w:val="005C5541"/>
    <w:rsid w:val="005C7D41"/>
    <w:rsid w:val="005F686D"/>
    <w:rsid w:val="00601F26"/>
    <w:rsid w:val="00605A73"/>
    <w:rsid w:val="006104A2"/>
    <w:rsid w:val="0062373F"/>
    <w:rsid w:val="00630878"/>
    <w:rsid w:val="006351A7"/>
    <w:rsid w:val="00637D04"/>
    <w:rsid w:val="00640C6D"/>
    <w:rsid w:val="00642308"/>
    <w:rsid w:val="006427E7"/>
    <w:rsid w:val="00651417"/>
    <w:rsid w:val="00662948"/>
    <w:rsid w:val="00662EE9"/>
    <w:rsid w:val="00664BFA"/>
    <w:rsid w:val="00670DB8"/>
    <w:rsid w:val="006918F6"/>
    <w:rsid w:val="00692D90"/>
    <w:rsid w:val="00696077"/>
    <w:rsid w:val="006A05ED"/>
    <w:rsid w:val="006A7FCB"/>
    <w:rsid w:val="006B5353"/>
    <w:rsid w:val="006C0265"/>
    <w:rsid w:val="006D1734"/>
    <w:rsid w:val="006D46F4"/>
    <w:rsid w:val="006D78AE"/>
    <w:rsid w:val="006E37BF"/>
    <w:rsid w:val="006E6EFB"/>
    <w:rsid w:val="00712E39"/>
    <w:rsid w:val="00714F87"/>
    <w:rsid w:val="00771616"/>
    <w:rsid w:val="00774189"/>
    <w:rsid w:val="007767EE"/>
    <w:rsid w:val="00785CA9"/>
    <w:rsid w:val="00795B8C"/>
    <w:rsid w:val="007A2F60"/>
    <w:rsid w:val="007D5104"/>
    <w:rsid w:val="007D7625"/>
    <w:rsid w:val="007E3FAA"/>
    <w:rsid w:val="00806C31"/>
    <w:rsid w:val="008253B8"/>
    <w:rsid w:val="008330C4"/>
    <w:rsid w:val="00852166"/>
    <w:rsid w:val="00885B37"/>
    <w:rsid w:val="00886E76"/>
    <w:rsid w:val="00891A18"/>
    <w:rsid w:val="008A76B5"/>
    <w:rsid w:val="008C3A8D"/>
    <w:rsid w:val="008C5E06"/>
    <w:rsid w:val="008D22BF"/>
    <w:rsid w:val="008D3BF7"/>
    <w:rsid w:val="008D672F"/>
    <w:rsid w:val="008D7E71"/>
    <w:rsid w:val="008E49F1"/>
    <w:rsid w:val="008F513C"/>
    <w:rsid w:val="009013C4"/>
    <w:rsid w:val="00922884"/>
    <w:rsid w:val="009358F3"/>
    <w:rsid w:val="00936913"/>
    <w:rsid w:val="00946F25"/>
    <w:rsid w:val="009765F6"/>
    <w:rsid w:val="009774C5"/>
    <w:rsid w:val="009B0BFA"/>
    <w:rsid w:val="009B76F7"/>
    <w:rsid w:val="009C159B"/>
    <w:rsid w:val="009E5733"/>
    <w:rsid w:val="009F34EA"/>
    <w:rsid w:val="009F781B"/>
    <w:rsid w:val="00A15B1D"/>
    <w:rsid w:val="00A240E3"/>
    <w:rsid w:val="00A354F0"/>
    <w:rsid w:val="00A401CD"/>
    <w:rsid w:val="00A4061C"/>
    <w:rsid w:val="00A477C4"/>
    <w:rsid w:val="00A55FD3"/>
    <w:rsid w:val="00A664F3"/>
    <w:rsid w:val="00A80288"/>
    <w:rsid w:val="00A84787"/>
    <w:rsid w:val="00A8673E"/>
    <w:rsid w:val="00AA2A73"/>
    <w:rsid w:val="00AA2CAF"/>
    <w:rsid w:val="00AA5D64"/>
    <w:rsid w:val="00AB11AA"/>
    <w:rsid w:val="00AC1219"/>
    <w:rsid w:val="00AC69B2"/>
    <w:rsid w:val="00AD4C0E"/>
    <w:rsid w:val="00AE270A"/>
    <w:rsid w:val="00AF2D2D"/>
    <w:rsid w:val="00AF5AE7"/>
    <w:rsid w:val="00B0345D"/>
    <w:rsid w:val="00B21AEB"/>
    <w:rsid w:val="00B2350D"/>
    <w:rsid w:val="00B25F20"/>
    <w:rsid w:val="00B34421"/>
    <w:rsid w:val="00B61224"/>
    <w:rsid w:val="00B97116"/>
    <w:rsid w:val="00BA1344"/>
    <w:rsid w:val="00BB0EE3"/>
    <w:rsid w:val="00C02DE1"/>
    <w:rsid w:val="00C42915"/>
    <w:rsid w:val="00C67F4B"/>
    <w:rsid w:val="00C74704"/>
    <w:rsid w:val="00C91A76"/>
    <w:rsid w:val="00C91BCD"/>
    <w:rsid w:val="00C940A6"/>
    <w:rsid w:val="00CB75E0"/>
    <w:rsid w:val="00D170A7"/>
    <w:rsid w:val="00D24593"/>
    <w:rsid w:val="00D44F22"/>
    <w:rsid w:val="00D5072C"/>
    <w:rsid w:val="00D708AC"/>
    <w:rsid w:val="00D716A3"/>
    <w:rsid w:val="00D76808"/>
    <w:rsid w:val="00D81CDE"/>
    <w:rsid w:val="00D82BE3"/>
    <w:rsid w:val="00D9164F"/>
    <w:rsid w:val="00D97EAE"/>
    <w:rsid w:val="00DA3E20"/>
    <w:rsid w:val="00DA4D66"/>
    <w:rsid w:val="00DB0272"/>
    <w:rsid w:val="00DB4911"/>
    <w:rsid w:val="00DD0412"/>
    <w:rsid w:val="00DE1128"/>
    <w:rsid w:val="00DF3A82"/>
    <w:rsid w:val="00E0046C"/>
    <w:rsid w:val="00E13A3A"/>
    <w:rsid w:val="00E1401A"/>
    <w:rsid w:val="00E14FEE"/>
    <w:rsid w:val="00E256FC"/>
    <w:rsid w:val="00E3491B"/>
    <w:rsid w:val="00E34DDA"/>
    <w:rsid w:val="00E4470C"/>
    <w:rsid w:val="00E52405"/>
    <w:rsid w:val="00E5393F"/>
    <w:rsid w:val="00E568ED"/>
    <w:rsid w:val="00E56B7F"/>
    <w:rsid w:val="00E634AC"/>
    <w:rsid w:val="00E74074"/>
    <w:rsid w:val="00E76DE0"/>
    <w:rsid w:val="00E777E0"/>
    <w:rsid w:val="00E81612"/>
    <w:rsid w:val="00E825C4"/>
    <w:rsid w:val="00E949BC"/>
    <w:rsid w:val="00EA23E4"/>
    <w:rsid w:val="00EA7ED9"/>
    <w:rsid w:val="00EB7030"/>
    <w:rsid w:val="00ED48F1"/>
    <w:rsid w:val="00EF1E6C"/>
    <w:rsid w:val="00F010DF"/>
    <w:rsid w:val="00F01CC6"/>
    <w:rsid w:val="00F2210E"/>
    <w:rsid w:val="00F73639"/>
    <w:rsid w:val="00F74BB3"/>
    <w:rsid w:val="00F91EB0"/>
    <w:rsid w:val="00F94836"/>
    <w:rsid w:val="00FA7772"/>
    <w:rsid w:val="00FB06D8"/>
    <w:rsid w:val="00FB5803"/>
    <w:rsid w:val="047FABF0"/>
    <w:rsid w:val="1D7F07C1"/>
    <w:rsid w:val="41E4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78F19"/>
  <w15:chartTrackingRefBased/>
  <w15:docId w15:val="{E76EFDFA-584F-4276-A85D-ECCB7272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pageBreakBefore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i/>
      <w:iCs/>
    </w:rPr>
  </w:style>
  <w:style w:type="paragraph" w:styleId="INNH1">
    <w:name w:val="toc 1"/>
    <w:basedOn w:val="Normal"/>
    <w:next w:val="Normal"/>
    <w:autoRedefine/>
    <w:semiHidden/>
    <w:pPr>
      <w:spacing w:before="120" w:after="120"/>
    </w:pPr>
    <w:rPr>
      <w:b/>
      <w:bCs/>
      <w:caps/>
    </w:rPr>
  </w:style>
  <w:style w:type="paragraph" w:styleId="INNH2">
    <w:name w:val="toc 2"/>
    <w:basedOn w:val="Normal"/>
    <w:next w:val="Normal"/>
    <w:autoRedefine/>
    <w:semiHidden/>
    <w:pPr>
      <w:ind w:left="240"/>
    </w:pPr>
    <w:rPr>
      <w:smallCaps/>
    </w:rPr>
  </w:style>
  <w:style w:type="paragraph" w:styleId="INNH3">
    <w:name w:val="toc 3"/>
    <w:basedOn w:val="Normal"/>
    <w:next w:val="Normal"/>
    <w:autoRedefine/>
    <w:semiHidden/>
    <w:pPr>
      <w:ind w:left="480"/>
    </w:pPr>
    <w:rPr>
      <w:i/>
      <w:iCs/>
    </w:rPr>
  </w:style>
  <w:style w:type="paragraph" w:styleId="INNH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INNH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INNH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INNH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INNH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INNH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kobling">
    <w:name w:val="Hyperlink"/>
    <w:semiHidden/>
    <w:rPr>
      <w:color w:val="0000FF"/>
      <w:u w:val="single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table" w:styleId="Tabellrutenett">
    <w:name w:val="Table Grid"/>
    <w:basedOn w:val="Vanligtabell"/>
    <w:uiPriority w:val="59"/>
    <w:rsid w:val="00162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genmellomrom">
    <w:name w:val="No Spacing"/>
    <w:uiPriority w:val="1"/>
    <w:qFormat/>
    <w:rsid w:val="004C1E63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A7ED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EA7ED9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D4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3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3400-dbab-4473-a758-3bc0db2dcc45">
      <Terms xmlns="http://schemas.microsoft.com/office/infopath/2007/PartnerControls"/>
    </lcf76f155ced4ddcb4097134ff3c332f>
    <TaxCatchAll xmlns="44de8f33-1d76-4f02-9fc6-13c9b3b725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806A4B8733B45B2FC06609410DEBC" ma:contentTypeVersion="18" ma:contentTypeDescription="Create a new document." ma:contentTypeScope="" ma:versionID="8f6eb8bf068f85aa964c42b73b9dfb10">
  <xsd:schema xmlns:xsd="http://www.w3.org/2001/XMLSchema" xmlns:xs="http://www.w3.org/2001/XMLSchema" xmlns:p="http://schemas.microsoft.com/office/2006/metadata/properties" xmlns:ns2="d1b63400-dbab-4473-a758-3bc0db2dcc45" xmlns:ns3="44de8f33-1d76-4f02-9fc6-13c9b3b72574" targetNamespace="http://schemas.microsoft.com/office/2006/metadata/properties" ma:root="true" ma:fieldsID="47f4a292088192498cb41263680c68bc" ns2:_="" ns3:_="">
    <xsd:import namespace="d1b63400-dbab-4473-a758-3bc0db2dcc45"/>
    <xsd:import namespace="44de8f33-1d76-4f02-9fc6-13c9b3b72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3400-dbab-4473-a758-3bc0db2dc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c6f9eb-fc2e-41af-be8e-92b1327bc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e8f33-1d76-4f02-9fc6-13c9b3b72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3d1e2b-a88b-4da2-8384-eed5f5bfab3c}" ma:internalName="TaxCatchAll" ma:showField="CatchAllData" ma:web="44de8f33-1d76-4f02-9fc6-13c9b3b72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0B56E-D06F-4A49-82D4-346D28A8D6C2}">
  <ds:schemaRefs>
    <ds:schemaRef ds:uri="http://schemas.microsoft.com/office/2006/metadata/properties"/>
    <ds:schemaRef ds:uri="http://schemas.microsoft.com/office/infopath/2007/PartnerControls"/>
    <ds:schemaRef ds:uri="d1b63400-dbab-4473-a758-3bc0db2dcc45"/>
    <ds:schemaRef ds:uri="44de8f33-1d76-4f02-9fc6-13c9b3b72574"/>
  </ds:schemaRefs>
</ds:datastoreItem>
</file>

<file path=customXml/itemProps2.xml><?xml version="1.0" encoding="utf-8"?>
<ds:datastoreItem xmlns:ds="http://schemas.openxmlformats.org/officeDocument/2006/customXml" ds:itemID="{EBBC9EA0-A911-44A9-9B6D-AD4B1C85B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101DA-0ECE-4101-A166-6AF11FD90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63400-dbab-4473-a758-3bc0db2dcc45"/>
    <ds:schemaRef ds:uri="44de8f33-1d76-4f02-9fc6-13c9b3b72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2654</Words>
  <Characters>14071</Characters>
  <Application>Microsoft Office Word</Application>
  <DocSecurity>0</DocSecurity>
  <Lines>117</Lines>
  <Paragraphs>33</Paragraphs>
  <ScaleCrop>false</ScaleCrop>
  <Company>Ringerike kommune</Company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Merknadsvurdering</dc:title>
  <dc:subject/>
  <dc:creator>Ståle Hansteen</dc:creator>
  <cp:keywords/>
  <dc:description/>
  <cp:lastModifiedBy>Hanna Høibø</cp:lastModifiedBy>
  <cp:revision>79</cp:revision>
  <cp:lastPrinted>2018-07-12T09:01:00Z</cp:lastPrinted>
  <dcterms:created xsi:type="dcterms:W3CDTF">2022-08-10T10:45:00Z</dcterms:created>
  <dcterms:modified xsi:type="dcterms:W3CDTF">2025-11-24T13:48:00Z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0x010100E33806A4B8733B45B2FC06609410DEBC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#ffff00,10,Calibri</vt:lpwstr>
  </property>
  <property fmtid="{D5CDD505-2E9C-101B-9397-08002B2CF9AE}" pid="6" name="ClassificationContentMarkingFooterText">
    <vt:lpwstr>Internt dokument</vt:lpwstr>
  </property>
  <property fmtid="{D5CDD505-2E9C-101B-9397-08002B2CF9AE}" pid="7" name="MSIP_Label_240e000a-784a-49f9-8684-725ba81aa535_Enabled">
    <vt:lpwstr>true</vt:lpwstr>
  </property>
  <property fmtid="{D5CDD505-2E9C-101B-9397-08002B2CF9AE}" pid="8" name="MSIP_Label_240e000a-784a-49f9-8684-725ba81aa535_SetDate">
    <vt:lpwstr>2022-08-10T10:45:49Z</vt:lpwstr>
  </property>
  <property fmtid="{D5CDD505-2E9C-101B-9397-08002B2CF9AE}" pid="9" name="MSIP_Label_240e000a-784a-49f9-8684-725ba81aa535_Method">
    <vt:lpwstr>Standard</vt:lpwstr>
  </property>
  <property fmtid="{D5CDD505-2E9C-101B-9397-08002B2CF9AE}" pid="10" name="MSIP_Label_240e000a-784a-49f9-8684-725ba81aa535_Name">
    <vt:lpwstr>Intern (Gul)</vt:lpwstr>
  </property>
  <property fmtid="{D5CDD505-2E9C-101B-9397-08002B2CF9AE}" pid="11" name="MSIP_Label_240e000a-784a-49f9-8684-725ba81aa535_SiteId">
    <vt:lpwstr>0f4330da-d9fd-435a-8b1f-bf565cfdadbd</vt:lpwstr>
  </property>
  <property fmtid="{D5CDD505-2E9C-101B-9397-08002B2CF9AE}" pid="12" name="MSIP_Label_240e000a-784a-49f9-8684-725ba81aa535_ActionId">
    <vt:lpwstr>e1a9ebb1-0f9c-4dfd-8e9b-a68a16f9379a</vt:lpwstr>
  </property>
  <property fmtid="{D5CDD505-2E9C-101B-9397-08002B2CF9AE}" pid="13" name="MSIP_Label_240e000a-784a-49f9-8684-725ba81aa535_ContentBits">
    <vt:lpwstr>2</vt:lpwstr>
  </property>
  <property fmtid="{D5CDD505-2E9C-101B-9397-08002B2CF9AE}" pid="14" name="MediaServiceImageTags">
    <vt:lpwstr/>
  </property>
</Properties>
</file>